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F6" w:rsidRDefault="00213EF6">
      <w:pPr>
        <w:rPr>
          <w:rFonts w:asciiTheme="minorHAnsi" w:hAnsiTheme="minorHAnsi" w:cstheme="minorHAnsi"/>
        </w:rPr>
      </w:pPr>
    </w:p>
    <w:p w:rsidR="00213EF6" w:rsidRDefault="00213EF6">
      <w:pPr>
        <w:rPr>
          <w:rFonts w:asciiTheme="minorHAnsi" w:hAnsiTheme="minorHAnsi" w:cstheme="minorHAnsi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10080"/>
        <w:gridCol w:w="90"/>
      </w:tblGrid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Heading1"/>
            </w:pPr>
            <w:r>
              <w:t xml:space="preserve">Chapter 13 Outline </w:t>
            </w:r>
            <w:proofErr w:type="spellStart"/>
            <w:r>
              <w:t>Mcgraw</w:t>
            </w:r>
            <w:proofErr w:type="spellEnd"/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TableBody"/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Basics of Analysis—</w:t>
            </w:r>
            <w:r>
              <w:rPr>
                <w:rFonts w:ascii="Roman-WP" w:hAnsi="Roman-WP"/>
              </w:rPr>
              <w:t xml:space="preserve">Transforming </w:t>
            </w:r>
            <w:r>
              <w:rPr>
                <w:rFonts w:ascii="Roman-WP" w:hAnsi="Roman-WP"/>
                <w:i/>
              </w:rPr>
              <w:t>data</w:t>
            </w:r>
            <w:r>
              <w:rPr>
                <w:rFonts w:ascii="Roman-WP" w:hAnsi="Roman-WP"/>
              </w:rPr>
              <w:t xml:space="preserve"> into useful information.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Outline2"/>
            </w:pPr>
            <w:r>
              <w:t>A.</w:t>
            </w:r>
            <w:r>
              <w:tab/>
              <w:t>Purpose of Analysis</w:t>
            </w:r>
            <w:r>
              <w:br/>
              <w:t xml:space="preserve">To help users (both internal and external) </w:t>
            </w:r>
            <w:proofErr w:type="gramStart"/>
            <w:r>
              <w:t>make</w:t>
            </w:r>
            <w:proofErr w:type="gramEnd"/>
            <w:r>
              <w:t xml:space="preserve"> better business decisions.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  <w:t xml:space="preserve">Internal users (managers, officers and internal auditors) make the strategic and operating decisions of a company.  </w:t>
            </w:r>
            <w:proofErr w:type="gramStart"/>
            <w:r>
              <w:t>Purposes for these users is</w:t>
            </w:r>
            <w:proofErr w:type="gramEnd"/>
            <w:r>
              <w:t xml:space="preserve"> to provide strategic information to improve company efficiency and effectiveness in providing products and services.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>External users (shareholders, lenders, and suppliers) rely on financial statement analysis to make informed decisions in pursuing their own goals.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213EF6">
            <w:pPr>
              <w:pStyle w:val="Outline3"/>
              <w:numPr>
                <w:ilvl w:val="0"/>
                <w:numId w:val="28"/>
              </w:numPr>
            </w:pPr>
            <w:r>
              <w:t>The common goal of all users is to evaluate:</w:t>
            </w:r>
          </w:p>
          <w:p w:rsidR="00213EF6" w:rsidRDefault="00213EF6" w:rsidP="00055568">
            <w:pPr>
              <w:pStyle w:val="Outline4"/>
            </w:pPr>
            <w:r>
              <w:t>a.</w:t>
            </w:r>
            <w:r>
              <w:tab/>
              <w:t>Past and current performance.</w:t>
            </w:r>
          </w:p>
          <w:p w:rsidR="00213EF6" w:rsidRDefault="00213EF6" w:rsidP="00055568">
            <w:pPr>
              <w:pStyle w:val="Outline4"/>
            </w:pPr>
            <w:r>
              <w:t>b.</w:t>
            </w:r>
            <w:r>
              <w:tab/>
              <w:t>Current financial position.</w:t>
            </w:r>
          </w:p>
          <w:p w:rsidR="00213EF6" w:rsidRDefault="00213EF6" w:rsidP="00055568">
            <w:pPr>
              <w:pStyle w:val="Outline4"/>
            </w:pPr>
            <w:r>
              <w:t>c.</w:t>
            </w:r>
            <w:r>
              <w:tab/>
              <w:t>Future performance and risk.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Outline2"/>
            </w:pPr>
            <w:r>
              <w:t>B.</w:t>
            </w:r>
            <w:r>
              <w:tab/>
              <w:t>Building Blocks of Analysis</w:t>
            </w:r>
            <w:r>
              <w:br/>
              <w:t>The four areas of inquiry or building blocks are: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  <w:t>Liquidity and efficiency—ability to meet short-term obligations and to efficiently generate revenues.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>Solvency—ability to generate future revenues and meet long-term obligations.</w:t>
            </w:r>
          </w:p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>Profitability—ability to provide financial rewards sufficient to attract and retain financing.</w:t>
            </w:r>
          </w:p>
          <w:p w:rsidR="00213EF6" w:rsidRDefault="00213EF6" w:rsidP="00055568">
            <w:pPr>
              <w:pStyle w:val="Outline3"/>
            </w:pPr>
            <w:r>
              <w:t>4.</w:t>
            </w:r>
            <w:r>
              <w:tab/>
              <w:t>Market prospects—ability to generate positive market expectations.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Outline2"/>
            </w:pPr>
            <w:r>
              <w:t>C.</w:t>
            </w:r>
            <w:r>
              <w:tab/>
              <w:t>Information for Analysis</w:t>
            </w:r>
            <w:r>
              <w:br/>
              <w:t xml:space="preserve">Most users conduct analysis using </w:t>
            </w:r>
            <w:r>
              <w:rPr>
                <w:i/>
              </w:rPr>
              <w:t>general purpose financial statements</w:t>
            </w:r>
            <w:r>
              <w:t xml:space="preserve"> that include: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080" w:type="dxa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  <w:t>Income statement</w:t>
            </w:r>
          </w:p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>Balance sheet</w:t>
            </w:r>
          </w:p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>Statement of stockholders’ equity (or statement of retained earnings)</w:t>
            </w:r>
          </w:p>
          <w:p w:rsidR="00213EF6" w:rsidRDefault="00213EF6" w:rsidP="00055568">
            <w:pPr>
              <w:pStyle w:val="Outline3"/>
            </w:pPr>
            <w:r>
              <w:t>4.</w:t>
            </w:r>
            <w:r>
              <w:tab/>
              <w:t>Statement of cash flows</w:t>
            </w:r>
          </w:p>
          <w:p w:rsidR="00213EF6" w:rsidRDefault="00213EF6" w:rsidP="00055568">
            <w:pPr>
              <w:pStyle w:val="Outline3"/>
            </w:pPr>
            <w:r>
              <w:t>5.</w:t>
            </w:r>
            <w:r>
              <w:tab/>
              <w:t>Notes related to the statements</w:t>
            </w:r>
          </w:p>
          <w:p w:rsidR="00213EF6" w:rsidRDefault="00213EF6" w:rsidP="00213EF6">
            <w:pPr>
              <w:pStyle w:val="Outline3"/>
              <w:numPr>
                <w:ilvl w:val="0"/>
                <w:numId w:val="29"/>
              </w:numPr>
            </w:pPr>
            <w:r>
              <w:t>Other useful financial data—10K/other SEC filings, news releases, shareholders’ meetings, forecasts, management letters, auditor’s report, and analyses published in annual reports.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2"/>
            </w:pPr>
            <w:r>
              <w:t>D.</w:t>
            </w:r>
            <w:r>
              <w:tab/>
              <w:t>Standards for Comparisons</w:t>
            </w:r>
            <w:r>
              <w:br/>
              <w:t>We need standards (benchmarks) can include the following types of comparisons: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</w:r>
            <w:proofErr w:type="spellStart"/>
            <w:r>
              <w:t>Intracompany</w:t>
            </w:r>
            <w:proofErr w:type="spellEnd"/>
            <w:r>
              <w:t xml:space="preserve">—based on </w:t>
            </w:r>
            <w:r>
              <w:rPr>
                <w:i/>
              </w:rPr>
              <w:t>prior performance</w:t>
            </w:r>
            <w:r>
              <w:t xml:space="preserve"> and relations between its financial items.</w:t>
            </w:r>
          </w:p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 xml:space="preserve">Competitor—competitors provide standards for comparisons.  </w:t>
            </w:r>
          </w:p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>Industry—published industry statistics (available from services like Dun &amp; Bradstreet, Standard and Poor’s, and Moody’s) provide standards for comparisons.</w:t>
            </w:r>
          </w:p>
          <w:p w:rsidR="00213EF6" w:rsidRDefault="00213EF6" w:rsidP="00055568">
            <w:pPr>
              <w:pStyle w:val="Outline3"/>
            </w:pPr>
            <w:r>
              <w:t>4.</w:t>
            </w:r>
            <w:r>
              <w:tab/>
              <w:t>Guidelines (rules of thumb)—standards of comparisons developed from experience.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2"/>
            </w:pPr>
            <w:r>
              <w:t>E.</w:t>
            </w:r>
            <w:r>
              <w:tab/>
              <w:t>Tools of Analysis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  <w:t>Horizontal analysis</w:t>
            </w:r>
          </w:p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>Vertical analysis</w:t>
            </w:r>
          </w:p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>Ratio analysis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1"/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Horizontal Analysis—</w:t>
            </w:r>
            <w:r>
              <w:t xml:space="preserve">Tool to evaluate changes in financial statement data </w:t>
            </w:r>
            <w:r>
              <w:rPr>
                <w:i/>
              </w:rPr>
              <w:t xml:space="preserve">across time. </w:t>
            </w:r>
            <w:r>
              <w:t xml:space="preserve">This analysis </w:t>
            </w:r>
            <w:r>
              <w:lastRenderedPageBreak/>
              <w:t>utilizes: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213EF6">
            <w:pPr>
              <w:pStyle w:val="Outline2"/>
              <w:numPr>
                <w:ilvl w:val="0"/>
                <w:numId w:val="30"/>
              </w:numPr>
            </w:pPr>
            <w:r>
              <w:lastRenderedPageBreak/>
              <w:t>Comparative Statements</w:t>
            </w:r>
          </w:p>
          <w:p w:rsidR="00213EF6" w:rsidRPr="00BA71B2" w:rsidRDefault="00213EF6" w:rsidP="00213EF6">
            <w:pPr>
              <w:pStyle w:val="Outline3"/>
              <w:numPr>
                <w:ilvl w:val="0"/>
                <w:numId w:val="38"/>
              </w:numPr>
            </w:pPr>
            <w:r>
              <w:t>Reports where financial amounts for more than one period are placed side by side in columns on a single statement.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>Dollar Changes and Percent Changes—usually shown in line items.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4"/>
            </w:pPr>
            <w:r>
              <w:t>a.</w:t>
            </w:r>
            <w:r>
              <w:tab/>
              <w:t>Dollar change = Analysis period amount minus Base period amount.</w:t>
            </w:r>
          </w:p>
          <w:p w:rsidR="00213EF6" w:rsidRDefault="00213EF6" w:rsidP="00213EF6">
            <w:pPr>
              <w:pStyle w:val="Outline4"/>
              <w:numPr>
                <w:ilvl w:val="0"/>
                <w:numId w:val="34"/>
              </w:numPr>
            </w:pPr>
            <w:r>
              <w:t xml:space="preserve">Percent change = (Analysis period amount minus Base period amount) divided by Base period amount multiplied by 100.  </w:t>
            </w:r>
            <w:r>
              <w:rPr>
                <w:i/>
              </w:rPr>
              <w:t xml:space="preserve"> Note three special cases below</w:t>
            </w:r>
            <w:r>
              <w:t>: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213EF6">
            <w:pPr>
              <w:pStyle w:val="Outline3"/>
              <w:numPr>
                <w:ilvl w:val="0"/>
                <w:numId w:val="37"/>
              </w:numPr>
            </w:pPr>
            <w:r>
              <w:t xml:space="preserve">When a negative amount appears in the base period and a positive amount in the analysis period (or vice versa) a meaningful percentage change cannot be computed. </w:t>
            </w:r>
          </w:p>
          <w:p w:rsidR="00213EF6" w:rsidRDefault="00213EF6" w:rsidP="00213EF6">
            <w:pPr>
              <w:pStyle w:val="Outline3"/>
              <w:numPr>
                <w:ilvl w:val="0"/>
                <w:numId w:val="37"/>
              </w:numPr>
            </w:pPr>
            <w:r>
              <w:t>When there is no value in the base period—percentage    change is not computable.</w:t>
            </w:r>
          </w:p>
          <w:p w:rsidR="00213EF6" w:rsidRDefault="00213EF6" w:rsidP="00213EF6">
            <w:pPr>
              <w:pStyle w:val="Outline3"/>
              <w:numPr>
                <w:ilvl w:val="0"/>
                <w:numId w:val="37"/>
              </w:numPr>
            </w:pPr>
            <w:r>
              <w:t>When an item has a value in the base period and zero in the next period—the decrease is 100 percent.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 xml:space="preserve">Comparative Balance Sheets—balance sheets from two or more periods arranged side-by-side. Dollar and percentage changes are often shown. We review both large and small changes. </w:t>
            </w:r>
          </w:p>
          <w:p w:rsidR="00213EF6" w:rsidRDefault="00213EF6" w:rsidP="00055568">
            <w:pPr>
              <w:pStyle w:val="Outline3"/>
            </w:pPr>
            <w:r>
              <w:t>4.</w:t>
            </w:r>
            <w:r>
              <w:tab/>
              <w:t>Comparative Income Statements—also compares two or more periods presented side-by side with dollar and percentage changes.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2"/>
            </w:pPr>
            <w:r>
              <w:t>B.</w:t>
            </w:r>
            <w:r>
              <w:tab/>
              <w:t xml:space="preserve">Trend Analysis (also called </w:t>
            </w:r>
            <w:r>
              <w:rPr>
                <w:i/>
              </w:rPr>
              <w:t>trend percent analysis</w:t>
            </w:r>
            <w:r>
              <w:t xml:space="preserve"> or </w:t>
            </w:r>
            <w:r>
              <w:rPr>
                <w:i/>
              </w:rPr>
              <w:t>index number trend analysis</w:t>
            </w:r>
            <w:r>
              <w:t xml:space="preserve">) 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  <w:t>A form of horizontal analysis used to reveal patterns in data across successive periods.</w:t>
            </w:r>
          </w:p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 xml:space="preserve">Involves computing trend percents (or </w:t>
            </w:r>
            <w:r>
              <w:rPr>
                <w:i/>
              </w:rPr>
              <w:t>index number</w:t>
            </w:r>
            <w:r>
              <w:t>) as follows: Analysis period amount divided by base period amount) multiplied by 100.</w:t>
            </w:r>
          </w:p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>Often aided by graphical depiction.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1"/>
            </w:pPr>
            <w:r>
              <w:rPr>
                <w:b/>
              </w:rPr>
              <w:t>III.</w:t>
            </w:r>
            <w:r>
              <w:rPr>
                <w:b/>
              </w:rPr>
              <w:tab/>
              <w:t>Vertical Analysis</w:t>
            </w:r>
            <w:r>
              <w:t xml:space="preserve">—(also called </w:t>
            </w:r>
            <w:r>
              <w:rPr>
                <w:i/>
              </w:rPr>
              <w:t>common-size analysis</w:t>
            </w:r>
            <w:r>
              <w:t xml:space="preserve">) Comparing financial condition and performance to a </w:t>
            </w:r>
            <w:r>
              <w:rPr>
                <w:i/>
              </w:rPr>
              <w:t>base amount</w:t>
            </w:r>
            <w:r>
              <w:t>. The analysis tools include: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2"/>
              <w:rPr>
                <w:b/>
              </w:rPr>
            </w:pPr>
            <w:r>
              <w:t>A.</w:t>
            </w:r>
            <w:r>
              <w:tab/>
              <w:t xml:space="preserve">Common-Size Statements—reveal changes in the relative importance of each financial statement item by redefining each in terms </w:t>
            </w:r>
            <w:r>
              <w:rPr>
                <w:i/>
              </w:rPr>
              <w:t>of common-size percents.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  <w:t xml:space="preserve">Base amount is commonly defined as 100%. Usually a key aggregate figure is the base (Examples: revenue is the income statement base and </w:t>
            </w:r>
            <w:proofErr w:type="gramStart"/>
            <w:r>
              <w:t>total assets is</w:t>
            </w:r>
            <w:proofErr w:type="gramEnd"/>
            <w:r>
              <w:t xml:space="preserve"> the balance sheet base).</w:t>
            </w:r>
          </w:p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>Sum of individual items is 100%.</w:t>
            </w:r>
          </w:p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>Common-size percentage equals (Analysis amount divided by Base amounts) multiplied by 100.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213EF6">
            <w:pPr>
              <w:pStyle w:val="Outline2"/>
              <w:numPr>
                <w:ilvl w:val="0"/>
                <w:numId w:val="30"/>
              </w:numPr>
            </w:pPr>
            <w:r>
              <w:t>Data Visualizations—reveal trends and insights not easily seen by looking at numbers (ex. pie charts and bar charts) to visually highlight comparison information. Used to identify:</w:t>
            </w:r>
          </w:p>
          <w:p w:rsidR="00213EF6" w:rsidRDefault="00213EF6" w:rsidP="00213EF6">
            <w:pPr>
              <w:pStyle w:val="Outline2"/>
              <w:numPr>
                <w:ilvl w:val="0"/>
                <w:numId w:val="42"/>
              </w:numPr>
            </w:pPr>
            <w:r>
              <w:t>Sources of financing, including the distribution among current liabilities, noncurrent liabilities, and equity capital, and</w:t>
            </w:r>
          </w:p>
          <w:p w:rsidR="00213EF6" w:rsidRDefault="00213EF6" w:rsidP="00213EF6">
            <w:pPr>
              <w:pStyle w:val="Outline2"/>
              <w:numPr>
                <w:ilvl w:val="0"/>
                <w:numId w:val="42"/>
              </w:numPr>
            </w:pPr>
            <w:r>
              <w:t xml:space="preserve">Types of investing activities, including distribution among current and noncurrent assets. 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1"/>
            </w:pPr>
            <w:r>
              <w:rPr>
                <w:b/>
              </w:rPr>
              <w:t>IV.</w:t>
            </w:r>
            <w:r>
              <w:rPr>
                <w:b/>
              </w:rPr>
              <w:tab/>
              <w:t>Ratio Analysis</w:t>
            </w:r>
            <w:r>
              <w:t>—widely used in financial analysis because they help to uncover conditions and trends difficult to detect by inspecting individual amounts. Ratios are organized into the four (A to D below) building blocks of analysis: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2"/>
              <w:rPr>
                <w:b/>
              </w:rPr>
            </w:pPr>
            <w:r>
              <w:t>A.</w:t>
            </w:r>
            <w:r>
              <w:tab/>
              <w:t>Liquidity and Efficiency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</w:r>
            <w:r>
              <w:rPr>
                <w:i/>
              </w:rPr>
              <w:t>Liquidity</w:t>
            </w:r>
            <w:r>
              <w:t xml:space="preserve"> refers to the availability of resources to meet short-term cash requirements.</w:t>
            </w:r>
          </w:p>
          <w:p w:rsidR="00213EF6" w:rsidRDefault="00213EF6" w:rsidP="00055568">
            <w:pPr>
              <w:pStyle w:val="Outline3"/>
            </w:pPr>
            <w:r>
              <w:t>2</w:t>
            </w:r>
            <w:r>
              <w:rPr>
                <w:i/>
              </w:rPr>
              <w:t>.</w:t>
            </w:r>
            <w:r>
              <w:rPr>
                <w:i/>
              </w:rPr>
              <w:tab/>
              <w:t>Efficiency</w:t>
            </w:r>
            <w:r>
              <w:t xml:space="preserve"> refers to how productive a company is in using its assets. Efficiency is usually measured relative to how much revenue is generated for a certain level of assets.</w:t>
            </w:r>
          </w:p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>Ratios in this block:</w:t>
            </w:r>
          </w:p>
        </w:tc>
      </w:tr>
      <w:tr w:rsidR="00213EF6" w:rsidTr="00055568">
        <w:tc>
          <w:tcPr>
            <w:tcW w:w="10170" w:type="dxa"/>
            <w:gridSpan w:val="2"/>
          </w:tcPr>
          <w:p w:rsidR="00213EF6" w:rsidRPr="00F5124E" w:rsidRDefault="00213EF6" w:rsidP="00055568">
            <w:pPr>
              <w:pStyle w:val="Outline4"/>
            </w:pPr>
            <w:r w:rsidRPr="00F5124E">
              <w:t>a.</w:t>
            </w:r>
            <w:r w:rsidRPr="00F5124E">
              <w:tab/>
              <w:t>Working capital—the excess of current assets less current liabilities.</w:t>
            </w:r>
          </w:p>
          <w:p w:rsidR="00213EF6" w:rsidRPr="00F5124E" w:rsidRDefault="00213EF6" w:rsidP="00213EF6">
            <w:pPr>
              <w:pStyle w:val="Outline4"/>
              <w:numPr>
                <w:ilvl w:val="0"/>
                <w:numId w:val="31"/>
              </w:numPr>
              <w:tabs>
                <w:tab w:val="clear" w:pos="720"/>
              </w:tabs>
            </w:pPr>
            <w:r w:rsidRPr="00F5124E">
              <w:lastRenderedPageBreak/>
              <w:t>Current ratio—current assets divided by current liabilities; describes a company</w:t>
            </w:r>
            <w:r>
              <w:t>’</w:t>
            </w:r>
            <w:r w:rsidRPr="00F5124E">
              <w:t>s ability to pay its short-term obligations.</w:t>
            </w:r>
          </w:p>
          <w:p w:rsidR="00213EF6" w:rsidRPr="00F5124E" w:rsidRDefault="00213EF6" w:rsidP="00213EF6">
            <w:pPr>
              <w:pStyle w:val="Outline4"/>
              <w:numPr>
                <w:ilvl w:val="0"/>
                <w:numId w:val="31"/>
              </w:numPr>
              <w:tabs>
                <w:tab w:val="clear" w:pos="720"/>
              </w:tabs>
            </w:pPr>
            <w:r w:rsidRPr="00F5124E">
              <w:t xml:space="preserve">Acid-test ratio—similar to current ratio but focuses on quick assets (i.e., cash, short-term investments, </w:t>
            </w:r>
            <w:r>
              <w:t xml:space="preserve">current </w:t>
            </w:r>
            <w:r w:rsidRPr="00F5124E">
              <w:t>receivable</w:t>
            </w:r>
            <w:r>
              <w:t>s</w:t>
            </w:r>
            <w:r w:rsidRPr="00F5124E">
              <w:t>, and notes receivable) rather than current assets. Calculated as quick assets divided by current liabilities.</w:t>
            </w:r>
          </w:p>
        </w:tc>
      </w:tr>
    </w:tbl>
    <w:p w:rsidR="00213EF6" w:rsidRDefault="00213EF6" w:rsidP="00213EF6">
      <w:pPr>
        <w:pStyle w:val="TableBody"/>
      </w:pPr>
      <w:r>
        <w:lastRenderedPageBreak/>
        <w:br w:type="page"/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10170"/>
        <w:gridCol w:w="90"/>
      </w:tblGrid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4"/>
            </w:pPr>
            <w:r>
              <w:lastRenderedPageBreak/>
              <w:t>d.</w:t>
            </w:r>
            <w:r>
              <w:tab/>
              <w:t>Accounts receivable turnover—net sales or credit sales divided by average accounts receivable; a measure of how long it takes a company to collect its accounts.</w:t>
            </w:r>
          </w:p>
          <w:p w:rsidR="00213EF6" w:rsidRDefault="00213EF6" w:rsidP="00055568">
            <w:pPr>
              <w:pStyle w:val="Outline4"/>
            </w:pPr>
            <w:r>
              <w:t>e.</w:t>
            </w:r>
            <w:r>
              <w:tab/>
              <w:t xml:space="preserve">Inventory turnover—cost of goods sold divided by average inventory; the number of times a company’s average inventory is sold during an accounting period. </w:t>
            </w:r>
          </w:p>
          <w:p w:rsidR="00213EF6" w:rsidRDefault="00213EF6" w:rsidP="00055568">
            <w:pPr>
              <w:pStyle w:val="Outline4"/>
              <w:rPr>
                <w:sz w:val="21"/>
              </w:rPr>
            </w:pPr>
            <w:r>
              <w:rPr>
                <w:sz w:val="21"/>
              </w:rPr>
              <w:t>f.</w:t>
            </w:r>
            <w:r>
              <w:rPr>
                <w:sz w:val="21"/>
              </w:rPr>
              <w:tab/>
              <w:t>Days’ sales uncollected—(accounts receivable divided by net credit sales) multiplied by 365 days; measures how frequently a company collects its accounts receivable.</w:t>
            </w:r>
          </w:p>
          <w:p w:rsidR="00213EF6" w:rsidRDefault="00213EF6" w:rsidP="00055568">
            <w:pPr>
              <w:pStyle w:val="Outline4"/>
            </w:pPr>
            <w:r>
              <w:t>g.</w:t>
            </w:r>
            <w:r>
              <w:tab/>
              <w:t xml:space="preserve">Days’ sales in inventory—(ending inventory divided by cost of goods sold) multiplied by 365; measures how many days it will take to convert the inventory on hand at the end of the period into accounts receivable or cash. </w:t>
            </w:r>
          </w:p>
          <w:p w:rsidR="00213EF6" w:rsidRDefault="00213EF6" w:rsidP="00055568">
            <w:pPr>
              <w:pStyle w:val="Outline4"/>
            </w:pPr>
            <w:r>
              <w:t>h.</w:t>
            </w:r>
            <w:r>
              <w:tab/>
              <w:t xml:space="preserve">Total asset turnover—net sales divided by average total assets; describes the ability to use assets to generate sales. 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2"/>
            </w:pPr>
            <w:r>
              <w:t>B.</w:t>
            </w:r>
            <w:r>
              <w:tab/>
              <w:t>Solvency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</w:r>
            <w:r>
              <w:rPr>
                <w:i/>
              </w:rPr>
              <w:t xml:space="preserve">Solvency </w:t>
            </w:r>
            <w:r>
              <w:t xml:space="preserve">refers to a company’s long-run financial viability and its ability to cover long-term obligations. </w:t>
            </w:r>
            <w:r>
              <w:rPr>
                <w:i/>
              </w:rPr>
              <w:t>Capital structure</w:t>
            </w:r>
            <w:r>
              <w:t xml:space="preserve"> is one of the most important components of solvency analysis.</w:t>
            </w:r>
          </w:p>
          <w:p w:rsidR="00213EF6" w:rsidRDefault="00213EF6" w:rsidP="00055568">
            <w:pPr>
              <w:pStyle w:val="Outline3"/>
            </w:pPr>
            <w:r>
              <w:t>2.</w:t>
            </w:r>
            <w:r>
              <w:rPr>
                <w:i/>
              </w:rPr>
              <w:tab/>
              <w:t>Capital structure</w:t>
            </w:r>
            <w:r>
              <w:t xml:space="preserve"> refers to a company’s sources of financing.</w:t>
            </w:r>
          </w:p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>Ratios in this block: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4"/>
            </w:pPr>
            <w:r>
              <w:t>a.</w:t>
            </w:r>
            <w:r>
              <w:tab/>
              <w:t>Debt ratio—total liabilities divided by total assets.</w:t>
            </w:r>
          </w:p>
          <w:p w:rsidR="00213EF6" w:rsidRDefault="00213EF6" w:rsidP="00213EF6">
            <w:pPr>
              <w:pStyle w:val="Outline4"/>
              <w:numPr>
                <w:ilvl w:val="0"/>
                <w:numId w:val="32"/>
              </w:numPr>
              <w:tabs>
                <w:tab w:val="clear" w:pos="1080"/>
              </w:tabs>
            </w:pPr>
            <w:r>
              <w:t>Equity ratio—total stockholders’ equity divided by total assets; compliment of debt ratio.</w:t>
            </w:r>
          </w:p>
          <w:p w:rsidR="00213EF6" w:rsidRDefault="00213EF6" w:rsidP="00213EF6">
            <w:pPr>
              <w:pStyle w:val="Outline4"/>
              <w:numPr>
                <w:ilvl w:val="0"/>
                <w:numId w:val="32"/>
              </w:numPr>
              <w:tabs>
                <w:tab w:val="clear" w:pos="1080"/>
              </w:tabs>
            </w:pPr>
            <w:r>
              <w:t>Debt-to-equity ratio—total liabilities divided by total equity.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3"/>
            </w:pPr>
            <w:r>
              <w:rPr>
                <w:i/>
              </w:rPr>
              <w:tab/>
              <w:t>Note</w:t>
            </w:r>
            <w:r>
              <w:t xml:space="preserve">: A company is considered less risky if its capital structure (equity and long-term debt) is composed more of equity.  </w:t>
            </w:r>
            <w:r w:rsidRPr="0040515B">
              <w:rPr>
                <w:i/>
              </w:rPr>
              <w:t>Financial leveraging</w:t>
            </w:r>
            <w:r>
              <w:t>, the inclusion of debt, can increase return to stockholders.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4"/>
            </w:pPr>
            <w:r>
              <w:t>d.</w:t>
            </w:r>
            <w:r>
              <w:tab/>
              <w:t>Times interest earned—income before interest expense and income taxes divided by interest expense; reflects the risk of repayments with interest to creditors</w:t>
            </w:r>
            <w:r>
              <w:rPr>
                <w:b/>
              </w:rPr>
              <w:t>.</w:t>
            </w:r>
            <w:r>
              <w:rPr>
                <w:rFonts w:ascii="Courier New" w:hAnsi="Courier New"/>
                <w:b/>
                <w:sz w:val="18"/>
              </w:rPr>
              <w:t xml:space="preserve"> 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3"/>
              <w:ind w:hanging="640"/>
            </w:pPr>
            <w:r>
              <w:t>C.</w:t>
            </w:r>
            <w:r>
              <w:tab/>
              <w:t>Profitability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4"/>
            </w:pPr>
            <w:r>
              <w:t>1.</w:t>
            </w:r>
            <w:r>
              <w:tab/>
            </w:r>
            <w:r>
              <w:rPr>
                <w:i/>
              </w:rPr>
              <w:t xml:space="preserve">Profitability </w:t>
            </w:r>
            <w:r>
              <w:t xml:space="preserve">refers to a company’s ability to generate an adequate </w:t>
            </w:r>
            <w:r>
              <w:rPr>
                <w:i/>
              </w:rPr>
              <w:t xml:space="preserve">return </w:t>
            </w:r>
            <w:r>
              <w:t xml:space="preserve">on invested capital. </w:t>
            </w:r>
          </w:p>
          <w:p w:rsidR="00213EF6" w:rsidRDefault="00213EF6" w:rsidP="00055568">
            <w:pPr>
              <w:pStyle w:val="Outline4"/>
            </w:pPr>
            <w:r>
              <w:t>2.</w:t>
            </w:r>
            <w:r>
              <w:rPr>
                <w:i/>
              </w:rPr>
              <w:tab/>
              <w:t>Return</w:t>
            </w:r>
            <w:r>
              <w:t xml:space="preserve"> is judged by assessing earnings relative to the level and sources of financing.</w:t>
            </w:r>
          </w:p>
          <w:p w:rsidR="00213EF6" w:rsidRDefault="00213EF6" w:rsidP="00055568">
            <w:pPr>
              <w:pStyle w:val="Outline4"/>
            </w:pPr>
            <w:r>
              <w:t>3.  Profitability is also relevant to solvency.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4"/>
            </w:pPr>
            <w:r>
              <w:t>4.</w:t>
            </w:r>
            <w:r>
              <w:tab/>
              <w:t>Ratios in this block:</w:t>
            </w:r>
          </w:p>
          <w:p w:rsidR="00213EF6" w:rsidRDefault="00213EF6" w:rsidP="00055568">
            <w:pPr>
              <w:pStyle w:val="Outline5"/>
            </w:pPr>
            <w:r>
              <w:t>a.</w:t>
            </w:r>
            <w:r>
              <w:tab/>
              <w:t>Profit margin—net income divided by net sales; describes the ability to earn a net income from sales.</w:t>
            </w:r>
          </w:p>
          <w:p w:rsidR="00213EF6" w:rsidRDefault="00213EF6" w:rsidP="00055568">
            <w:pPr>
              <w:pStyle w:val="Outline5"/>
            </w:pPr>
            <w:r>
              <w:t>b.</w:t>
            </w:r>
            <w:r>
              <w:tab/>
              <w:t>Return on total assets—net income divided by average total assets; a summary measure of operating efficiency, comprises profit margin and total asset turnover.</w:t>
            </w:r>
          </w:p>
          <w:p w:rsidR="00213EF6" w:rsidRDefault="00213EF6" w:rsidP="00055568">
            <w:pPr>
              <w:pStyle w:val="Outline5"/>
            </w:pPr>
            <w:r>
              <w:t>c.</w:t>
            </w:r>
            <w:r>
              <w:tab/>
              <w:t>Return on equity—net income divided by average total equity; measures the success of a company in earning net income for its stockholders.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2"/>
            </w:pPr>
            <w:r>
              <w:t>D.</w:t>
            </w:r>
            <w:r>
              <w:tab/>
              <w:t>Market Prospects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  <w:t xml:space="preserve">Market measures are useful for analyzing corporations with publicly traded stock. </w:t>
            </w:r>
          </w:p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 xml:space="preserve">Market measures use stock price in their computation. </w:t>
            </w:r>
          </w:p>
          <w:p w:rsidR="00213EF6" w:rsidRDefault="00213EF6" w:rsidP="00055568">
            <w:pPr>
              <w:pStyle w:val="Outline3"/>
            </w:pPr>
            <w:r>
              <w:t>3.</w:t>
            </w:r>
            <w:r>
              <w:tab/>
              <w:t>Ratios in this block: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  <w:tcBorders>
              <w:bottom w:val="nil"/>
            </w:tcBorders>
          </w:tcPr>
          <w:p w:rsidR="00213EF6" w:rsidRDefault="00213EF6" w:rsidP="00055568">
            <w:pPr>
              <w:pStyle w:val="Outline4"/>
            </w:pPr>
            <w:r>
              <w:t>a.</w:t>
            </w:r>
            <w:r>
              <w:tab/>
              <w:t>Price-earnings ratio—market price per share of common stock divided by earnings per share; used to evaluate the profitability of alternative common stock investments.</w:t>
            </w:r>
          </w:p>
          <w:p w:rsidR="00213EF6" w:rsidRDefault="00213EF6" w:rsidP="00055568">
            <w:pPr>
              <w:pStyle w:val="Outline4"/>
            </w:pPr>
            <w:r>
              <w:t>b.</w:t>
            </w:r>
            <w:r>
              <w:tab/>
              <w:t>Dividend yield—annual cash dividends paid per share of stock divided by market price per share; used to compare the dividend paying performance of different investment alternatives.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  <w:tcBorders>
              <w:bottom w:val="nil"/>
            </w:tcBorders>
          </w:tcPr>
          <w:p w:rsidR="00213EF6" w:rsidRDefault="00213EF6" w:rsidP="00213EF6">
            <w:pPr>
              <w:pStyle w:val="Outline2"/>
              <w:numPr>
                <w:ilvl w:val="0"/>
                <w:numId w:val="33"/>
              </w:numPr>
              <w:tabs>
                <w:tab w:val="clear" w:pos="1440"/>
              </w:tabs>
            </w:pPr>
            <w:r>
              <w:lastRenderedPageBreak/>
              <w:t>Summary of Ratios</w:t>
            </w:r>
            <w:r>
              <w:br/>
              <w:t>Exhibit 17.16 in the text sets forth the names of each of the common ratios by category, and includes the formula and a description of what is measured by each ratio.</w:t>
            </w:r>
          </w:p>
        </w:tc>
      </w:tr>
      <w:tr w:rsidR="00213EF6" w:rsidRPr="00240D1E" w:rsidTr="00055568">
        <w:trPr>
          <w:gridAfter w:val="1"/>
          <w:wAfter w:w="90" w:type="dxa"/>
        </w:trPr>
        <w:tc>
          <w:tcPr>
            <w:tcW w:w="10170" w:type="dxa"/>
            <w:tcBorders>
              <w:right w:val="nil"/>
            </w:tcBorders>
          </w:tcPr>
          <w:p w:rsidR="00213EF6" w:rsidRPr="008462FB" w:rsidRDefault="00213EF6" w:rsidP="00055568">
            <w:pPr>
              <w:rPr>
                <w:rFonts w:ascii="Arial Black" w:hAnsi="Arial Black"/>
                <w:b/>
                <w:bCs/>
              </w:rPr>
            </w:pPr>
            <w:r w:rsidRPr="008462FB">
              <w:rPr>
                <w:rFonts w:ascii="Arial Black" w:hAnsi="Arial Black"/>
                <w:b/>
                <w:bCs/>
              </w:rPr>
              <w:t>V.</w:t>
            </w:r>
            <w:r w:rsidRPr="008462FB">
              <w:rPr>
                <w:rFonts w:ascii="Arial Black" w:hAnsi="Arial Black"/>
                <w:b/>
              </w:rPr>
              <w:tab/>
            </w:r>
            <w:r w:rsidRPr="008462FB">
              <w:rPr>
                <w:rFonts w:ascii="Arial Black" w:hAnsi="Arial Black"/>
                <w:b/>
                <w:bCs/>
              </w:rPr>
              <w:t>Decision Analysis—Analysis Reporting</w:t>
            </w:r>
          </w:p>
        </w:tc>
      </w:tr>
      <w:tr w:rsidR="00213EF6" w:rsidTr="00055568">
        <w:trPr>
          <w:gridAfter w:val="1"/>
          <w:wAfter w:w="90" w:type="dxa"/>
        </w:trPr>
        <w:tc>
          <w:tcPr>
            <w:tcW w:w="10170" w:type="dxa"/>
            <w:tcBorders>
              <w:right w:val="nil"/>
            </w:tcBorders>
          </w:tcPr>
          <w:p w:rsidR="00213EF6" w:rsidRDefault="00213EF6" w:rsidP="00055568">
            <w:pPr>
              <w:pStyle w:val="Outline2"/>
              <w:tabs>
                <w:tab w:val="clear" w:pos="1080"/>
              </w:tabs>
              <w:ind w:left="720" w:firstLine="0"/>
            </w:pPr>
            <w:r>
              <w:t>Goal of financial statement analysis report is to reduce uncertainty through rigorous and sound evaluation. A good analysis report usually consists of six sections:</w:t>
            </w:r>
          </w:p>
          <w:p w:rsidR="00213EF6" w:rsidRDefault="00213EF6" w:rsidP="00213EF6">
            <w:pPr>
              <w:pStyle w:val="Outline3"/>
              <w:numPr>
                <w:ilvl w:val="0"/>
                <w:numId w:val="35"/>
              </w:numPr>
            </w:pPr>
            <w:r>
              <w:t>Executive summary</w:t>
            </w:r>
          </w:p>
          <w:p w:rsidR="00213EF6" w:rsidRDefault="00213EF6" w:rsidP="00213EF6">
            <w:pPr>
              <w:pStyle w:val="Outline3"/>
              <w:numPr>
                <w:ilvl w:val="0"/>
                <w:numId w:val="35"/>
              </w:numPr>
            </w:pPr>
            <w:r>
              <w:t>Analysis overview</w:t>
            </w:r>
          </w:p>
          <w:p w:rsidR="00213EF6" w:rsidRDefault="00213EF6" w:rsidP="00213EF6">
            <w:pPr>
              <w:pStyle w:val="Outline3"/>
              <w:numPr>
                <w:ilvl w:val="0"/>
                <w:numId w:val="35"/>
              </w:numPr>
            </w:pPr>
            <w:r>
              <w:t>Evidential matter</w:t>
            </w:r>
          </w:p>
          <w:p w:rsidR="00213EF6" w:rsidRDefault="00213EF6" w:rsidP="00213EF6">
            <w:pPr>
              <w:pStyle w:val="Outline3"/>
              <w:numPr>
                <w:ilvl w:val="0"/>
                <w:numId w:val="35"/>
              </w:numPr>
            </w:pPr>
            <w:r>
              <w:t>Assumptions</w:t>
            </w:r>
          </w:p>
          <w:p w:rsidR="00213EF6" w:rsidRDefault="00213EF6" w:rsidP="00213EF6">
            <w:pPr>
              <w:pStyle w:val="Outline3"/>
              <w:numPr>
                <w:ilvl w:val="0"/>
                <w:numId w:val="35"/>
              </w:numPr>
            </w:pPr>
            <w:r>
              <w:t>Key factors</w:t>
            </w:r>
          </w:p>
          <w:p w:rsidR="00213EF6" w:rsidRDefault="00213EF6" w:rsidP="00055568">
            <w:pPr>
              <w:pStyle w:val="Outline2"/>
            </w:pPr>
            <w:r>
              <w:t xml:space="preserve">       6.   Inferences</w:t>
            </w:r>
          </w:p>
        </w:tc>
      </w:tr>
      <w:tr w:rsidR="00213EF6" w:rsidTr="00055568">
        <w:tc>
          <w:tcPr>
            <w:tcW w:w="10260" w:type="dxa"/>
            <w:gridSpan w:val="2"/>
          </w:tcPr>
          <w:p w:rsidR="00213EF6" w:rsidRDefault="00213EF6" w:rsidP="00055568">
            <w:pPr>
              <w:pStyle w:val="Outline3"/>
              <w:tabs>
                <w:tab w:val="clear" w:pos="1440"/>
              </w:tabs>
              <w:ind w:left="-18" w:firstLine="0"/>
            </w:pPr>
            <w:r>
              <w:rPr>
                <w:b/>
                <w:bCs/>
              </w:rPr>
              <w:t>VI.</w:t>
            </w:r>
            <w:r>
              <w:rPr>
                <w:b/>
              </w:rPr>
              <w:tab/>
              <w:t>Sustainable Income—Appendix 13A</w:t>
            </w:r>
            <w:r w:rsidRPr="002E3B40" w:rsidDel="00966B74">
              <w:rPr>
                <w:b/>
                <w:bCs/>
              </w:rPr>
              <w:t xml:space="preserve"> </w:t>
            </w:r>
          </w:p>
        </w:tc>
      </w:tr>
      <w:tr w:rsidR="00213EF6" w:rsidTr="00055568">
        <w:tc>
          <w:tcPr>
            <w:tcW w:w="10260" w:type="dxa"/>
            <w:gridSpan w:val="2"/>
          </w:tcPr>
          <w:p w:rsidR="00213EF6" w:rsidRDefault="00213EF6" w:rsidP="00055568">
            <w:pPr>
              <w:pStyle w:val="Outline1"/>
            </w:pPr>
            <w:r>
              <w:rPr>
                <w:b/>
              </w:rPr>
              <w:t xml:space="preserve">             </w:t>
            </w:r>
            <w:r>
              <w:t>When a revenue and expense transactions are from normal, continuing operations, a simple income statement is adequate. When activities include events that are not normal, it</w:t>
            </w:r>
            <w:r>
              <w:rPr>
                <w:b/>
              </w:rPr>
              <w:t xml:space="preserve"> </w:t>
            </w:r>
            <w:r>
              <w:t>must disclose this information by separating the income statement into different sections as follows (A-D):</w:t>
            </w:r>
          </w:p>
        </w:tc>
      </w:tr>
      <w:tr w:rsidR="00213EF6" w:rsidTr="00055568">
        <w:tc>
          <w:tcPr>
            <w:tcW w:w="10260" w:type="dxa"/>
            <w:gridSpan w:val="2"/>
          </w:tcPr>
          <w:p w:rsidR="00213EF6" w:rsidRDefault="00213EF6" w:rsidP="00213EF6">
            <w:pPr>
              <w:pStyle w:val="Outline2"/>
              <w:numPr>
                <w:ilvl w:val="0"/>
                <w:numId w:val="40"/>
              </w:numPr>
            </w:pPr>
            <w:r>
              <w:t>Continuing Operations</w:t>
            </w:r>
            <w:r>
              <w:br/>
              <w:t>Reports the revenues, expenses, and income generated by the company’s continuing operations.</w:t>
            </w:r>
          </w:p>
          <w:p w:rsidR="00213EF6" w:rsidRDefault="00213EF6" w:rsidP="00213EF6">
            <w:pPr>
              <w:pStyle w:val="Outline2"/>
              <w:numPr>
                <w:ilvl w:val="0"/>
                <w:numId w:val="41"/>
              </w:numPr>
              <w:ind w:hanging="1095"/>
            </w:pPr>
            <w:r>
              <w:t xml:space="preserve">Gains and losses that are normal and frequent are reported as part of continuing operations. </w:t>
            </w:r>
          </w:p>
          <w:p w:rsidR="00213EF6" w:rsidRDefault="00213EF6" w:rsidP="00213EF6">
            <w:pPr>
              <w:pStyle w:val="Outline2"/>
              <w:numPr>
                <w:ilvl w:val="0"/>
                <w:numId w:val="41"/>
              </w:numPr>
              <w:tabs>
                <w:tab w:val="clear" w:pos="2160"/>
                <w:tab w:val="left" w:pos="2325"/>
              </w:tabs>
              <w:ind w:left="1425"/>
            </w:pPr>
            <w:r>
              <w:t>Gains and losses that are either unusual and/or infrequent are reported as part of continuing operations but after the normal revenues and expenses.</w:t>
            </w:r>
          </w:p>
          <w:p w:rsidR="00213EF6" w:rsidRDefault="00213EF6" w:rsidP="00213EF6">
            <w:pPr>
              <w:pStyle w:val="Outline2"/>
              <w:numPr>
                <w:ilvl w:val="0"/>
                <w:numId w:val="41"/>
              </w:numPr>
              <w:ind w:hanging="1095"/>
            </w:pPr>
            <w:r>
              <w:t>Note that FASB no longer allows extraordinary items.</w:t>
            </w:r>
          </w:p>
          <w:p w:rsidR="00213EF6" w:rsidRDefault="00213EF6" w:rsidP="00055568">
            <w:pPr>
              <w:pStyle w:val="Outline2"/>
              <w:ind w:left="720" w:firstLine="0"/>
            </w:pPr>
            <w:r>
              <w:t>B.</w:t>
            </w:r>
            <w:r>
              <w:tab/>
              <w:t>Discontinued Segments</w:t>
            </w:r>
          </w:p>
          <w:p w:rsidR="00213EF6" w:rsidRDefault="00213EF6" w:rsidP="00213EF6">
            <w:pPr>
              <w:pStyle w:val="Outline3"/>
              <w:numPr>
                <w:ilvl w:val="0"/>
                <w:numId w:val="36"/>
              </w:numPr>
            </w:pPr>
            <w:r>
              <w:t xml:space="preserve">A </w:t>
            </w:r>
            <w:r>
              <w:rPr>
                <w:i/>
              </w:rPr>
              <w:t>business segment</w:t>
            </w:r>
            <w:r>
              <w:t xml:space="preserve"> is a part of a company’s operations that</w:t>
            </w:r>
            <w:r>
              <w:rPr>
                <w:sz w:val="20"/>
              </w:rPr>
              <w:t xml:space="preserve"> </w:t>
            </w:r>
            <w:r>
              <w:rPr>
                <w:szCs w:val="22"/>
              </w:rPr>
              <w:t>serves</w:t>
            </w:r>
            <w:r>
              <w:rPr>
                <w:sz w:val="20"/>
              </w:rPr>
              <w:t xml:space="preserve"> </w:t>
            </w:r>
            <w:r>
              <w:t>a particular line of business or class of customers.</w:t>
            </w:r>
          </w:p>
          <w:p w:rsidR="00213EF6" w:rsidRDefault="00213EF6" w:rsidP="00055568">
            <w:pPr>
              <w:pStyle w:val="Outline3"/>
              <w:rPr>
                <w:b/>
              </w:rPr>
            </w:pPr>
            <w:r>
              <w:t>2.</w:t>
            </w:r>
            <w:r>
              <w:tab/>
              <w:t>Section reports:</w:t>
            </w:r>
          </w:p>
        </w:tc>
      </w:tr>
      <w:tr w:rsidR="00213EF6" w:rsidTr="00055568">
        <w:tc>
          <w:tcPr>
            <w:tcW w:w="10260" w:type="dxa"/>
            <w:gridSpan w:val="2"/>
            <w:tcBorders>
              <w:bottom w:val="nil"/>
            </w:tcBorders>
          </w:tcPr>
          <w:p w:rsidR="00213EF6" w:rsidRDefault="00213EF6" w:rsidP="00055568">
            <w:pPr>
              <w:pStyle w:val="Outline4"/>
            </w:pPr>
            <w:r>
              <w:t>a.</w:t>
            </w:r>
            <w:r>
              <w:tab/>
              <w:t>Income (loss) from operating the discontinued business segment for the current period prior to disposal (net of taxes).</w:t>
            </w:r>
          </w:p>
          <w:p w:rsidR="00213EF6" w:rsidRDefault="00213EF6" w:rsidP="00055568">
            <w:pPr>
              <w:pStyle w:val="Outline4"/>
            </w:pPr>
            <w:r>
              <w:t>b.</w:t>
            </w:r>
            <w:r>
              <w:tab/>
              <w:t>Gain or loss on disposal of the segment (net of related income tax effects).</w:t>
            </w:r>
          </w:p>
        </w:tc>
      </w:tr>
      <w:tr w:rsidR="00213EF6" w:rsidTr="00055568">
        <w:tc>
          <w:tcPr>
            <w:tcW w:w="10260" w:type="dxa"/>
            <w:gridSpan w:val="2"/>
            <w:tcBorders>
              <w:right w:val="nil"/>
            </w:tcBorders>
          </w:tcPr>
          <w:p w:rsidR="00213EF6" w:rsidRDefault="00213EF6" w:rsidP="00055568">
            <w:pPr>
              <w:pStyle w:val="Outline2"/>
            </w:pPr>
            <w:r>
              <w:t>C.</w:t>
            </w:r>
            <w:r>
              <w:tab/>
              <w:t xml:space="preserve">Earnings per Share – </w:t>
            </w:r>
          </w:p>
        </w:tc>
      </w:tr>
      <w:tr w:rsidR="00213EF6" w:rsidTr="00055568">
        <w:tc>
          <w:tcPr>
            <w:tcW w:w="10260" w:type="dxa"/>
            <w:gridSpan w:val="2"/>
            <w:tcBorders>
              <w:right w:val="nil"/>
            </w:tcBorders>
          </w:tcPr>
          <w:p w:rsidR="00213EF6" w:rsidRDefault="00213EF6" w:rsidP="00213EF6">
            <w:pPr>
              <w:pStyle w:val="Outline3"/>
              <w:numPr>
                <w:ilvl w:val="0"/>
                <w:numId w:val="39"/>
              </w:numPr>
            </w:pPr>
            <w:r>
              <w:t>Final section of income statement</w:t>
            </w:r>
          </w:p>
          <w:p w:rsidR="00213EF6" w:rsidRDefault="00213EF6" w:rsidP="00213EF6">
            <w:pPr>
              <w:pStyle w:val="Outline3"/>
              <w:numPr>
                <w:ilvl w:val="0"/>
                <w:numId w:val="39"/>
              </w:numPr>
            </w:pPr>
            <w:r>
              <w:t>Reported for both continuing operations and discontinued segments (where both exist).</w:t>
            </w:r>
          </w:p>
        </w:tc>
      </w:tr>
      <w:tr w:rsidR="00213EF6" w:rsidTr="00055568">
        <w:tc>
          <w:tcPr>
            <w:tcW w:w="10260" w:type="dxa"/>
            <w:gridSpan w:val="2"/>
            <w:tcBorders>
              <w:right w:val="nil"/>
            </w:tcBorders>
          </w:tcPr>
          <w:p w:rsidR="00213EF6" w:rsidRDefault="00213EF6" w:rsidP="00055568">
            <w:pPr>
              <w:pStyle w:val="Outline3"/>
              <w:tabs>
                <w:tab w:val="clear" w:pos="1440"/>
              </w:tabs>
              <w:ind w:left="0" w:firstLine="0"/>
            </w:pPr>
            <w:r>
              <w:t xml:space="preserve">             D.</w:t>
            </w:r>
            <w:r>
              <w:tab/>
              <w:t xml:space="preserve">Changes in Accounting Principles </w:t>
            </w:r>
          </w:p>
        </w:tc>
      </w:tr>
      <w:tr w:rsidR="00213EF6" w:rsidTr="00055568">
        <w:tc>
          <w:tcPr>
            <w:tcW w:w="10260" w:type="dxa"/>
            <w:gridSpan w:val="2"/>
            <w:tcBorders>
              <w:right w:val="nil"/>
            </w:tcBorders>
          </w:tcPr>
          <w:p w:rsidR="00213EF6" w:rsidRDefault="00213EF6" w:rsidP="00055568">
            <w:pPr>
              <w:pStyle w:val="Outline3"/>
            </w:pPr>
            <w:r>
              <w:t>1.</w:t>
            </w:r>
            <w:r>
              <w:tab/>
              <w:t xml:space="preserve">The </w:t>
            </w:r>
            <w:r>
              <w:rPr>
                <w:i/>
              </w:rPr>
              <w:t>consistency principle</w:t>
            </w:r>
            <w:r>
              <w:t xml:space="preserve"> directs a company to apply the same accounting principle across periods. Changes from one accounting principles to another (Example: LIFO to FIFO) are acceptable if justified as improvements in financial reporting. </w:t>
            </w:r>
          </w:p>
          <w:p w:rsidR="00213EF6" w:rsidRDefault="00213EF6" w:rsidP="00055568">
            <w:pPr>
              <w:pStyle w:val="Outline3"/>
            </w:pPr>
            <w:r>
              <w:t>2.</w:t>
            </w:r>
            <w:r>
              <w:tab/>
              <w:t xml:space="preserve">A footnote would describe change and why it is an improvement. </w:t>
            </w:r>
          </w:p>
          <w:p w:rsidR="00213EF6" w:rsidRDefault="00213EF6" w:rsidP="00055568">
            <w:pPr>
              <w:pStyle w:val="Outline3"/>
              <w:tabs>
                <w:tab w:val="clear" w:pos="1440"/>
              </w:tabs>
            </w:pPr>
            <w:r>
              <w:t>3.</w:t>
            </w:r>
            <w:r>
              <w:tab/>
              <w:t xml:space="preserve">Requires </w:t>
            </w:r>
            <w:r w:rsidRPr="0018021E">
              <w:rPr>
                <w:i/>
              </w:rPr>
              <w:t>retrospective application</w:t>
            </w:r>
            <w:r>
              <w:t xml:space="preserve"> (application of new accounting principle to prior periods as if that principle had always been used).</w:t>
            </w:r>
          </w:p>
        </w:tc>
      </w:tr>
    </w:tbl>
    <w:p w:rsidR="00213EF6" w:rsidRPr="00213EF6" w:rsidRDefault="00213EF6"/>
    <w:sectPr w:rsidR="00213EF6" w:rsidRPr="00213EF6" w:rsidSect="004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-WP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829"/>
    <w:multiLevelType w:val="singleLevel"/>
    <w:tmpl w:val="6ED0A6B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>
    <w:nsid w:val="04C40A5E"/>
    <w:multiLevelType w:val="singleLevel"/>
    <w:tmpl w:val="F5763074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5A77803"/>
    <w:multiLevelType w:val="singleLevel"/>
    <w:tmpl w:val="A7AE2AA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>
    <w:nsid w:val="0A01033B"/>
    <w:multiLevelType w:val="hybridMultilevel"/>
    <w:tmpl w:val="499EB740"/>
    <w:lvl w:ilvl="0" w:tplc="0FDCAF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C05"/>
    <w:multiLevelType w:val="hybridMultilevel"/>
    <w:tmpl w:val="5E16C780"/>
    <w:lvl w:ilvl="0" w:tplc="C1A2D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3C5E3D"/>
    <w:multiLevelType w:val="singleLevel"/>
    <w:tmpl w:val="33D49E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6">
    <w:nsid w:val="17F840EE"/>
    <w:multiLevelType w:val="hybridMultilevel"/>
    <w:tmpl w:val="C942A510"/>
    <w:lvl w:ilvl="0" w:tplc="43B00EFA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7">
    <w:nsid w:val="18330701"/>
    <w:multiLevelType w:val="hybridMultilevel"/>
    <w:tmpl w:val="9EBC25AA"/>
    <w:lvl w:ilvl="0" w:tplc="6826F3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A2679B"/>
    <w:multiLevelType w:val="singleLevel"/>
    <w:tmpl w:val="08C0F79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>
    <w:nsid w:val="1CB87414"/>
    <w:multiLevelType w:val="singleLevel"/>
    <w:tmpl w:val="F6C2F4B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0">
    <w:nsid w:val="1D625E22"/>
    <w:multiLevelType w:val="singleLevel"/>
    <w:tmpl w:val="6C1ABB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A85BA1"/>
    <w:multiLevelType w:val="hybridMultilevel"/>
    <w:tmpl w:val="642E8F32"/>
    <w:lvl w:ilvl="0" w:tplc="11BCA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4F1E5C"/>
    <w:multiLevelType w:val="singleLevel"/>
    <w:tmpl w:val="F1E0DB7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2487111F"/>
    <w:multiLevelType w:val="hybridMultilevel"/>
    <w:tmpl w:val="FF8C3C86"/>
    <w:lvl w:ilvl="0" w:tplc="11320E5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51720"/>
    <w:multiLevelType w:val="singleLevel"/>
    <w:tmpl w:val="9F06335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27AE7E82"/>
    <w:multiLevelType w:val="hybridMultilevel"/>
    <w:tmpl w:val="7A020500"/>
    <w:lvl w:ilvl="0" w:tplc="7D164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961289"/>
    <w:multiLevelType w:val="hybridMultilevel"/>
    <w:tmpl w:val="DB62E600"/>
    <w:lvl w:ilvl="0" w:tplc="517EB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464F5A"/>
    <w:multiLevelType w:val="hybridMultilevel"/>
    <w:tmpl w:val="40D0D8DC"/>
    <w:lvl w:ilvl="0" w:tplc="8B32A5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2BE06C74"/>
    <w:multiLevelType w:val="singleLevel"/>
    <w:tmpl w:val="FC0636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2F3F4EF9"/>
    <w:multiLevelType w:val="hybridMultilevel"/>
    <w:tmpl w:val="FF22809A"/>
    <w:lvl w:ilvl="0" w:tplc="2A5A079E">
      <w:start w:val="1"/>
      <w:numFmt w:val="lowerRoman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6B16A5C"/>
    <w:multiLevelType w:val="singleLevel"/>
    <w:tmpl w:val="53347F0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370028A3"/>
    <w:multiLevelType w:val="singleLevel"/>
    <w:tmpl w:val="7040CC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>
    <w:nsid w:val="425A4350"/>
    <w:multiLevelType w:val="hybridMultilevel"/>
    <w:tmpl w:val="E1529AF8"/>
    <w:lvl w:ilvl="0" w:tplc="3EE677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95628E"/>
    <w:multiLevelType w:val="singleLevel"/>
    <w:tmpl w:val="2836E6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43AB4AC8"/>
    <w:multiLevelType w:val="hybridMultilevel"/>
    <w:tmpl w:val="2020F2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2C3585"/>
    <w:multiLevelType w:val="singleLevel"/>
    <w:tmpl w:val="F8AA13A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6">
    <w:nsid w:val="4B460A24"/>
    <w:multiLevelType w:val="singleLevel"/>
    <w:tmpl w:val="6B0872C2"/>
    <w:lvl w:ilvl="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BD16883"/>
    <w:multiLevelType w:val="hybridMultilevel"/>
    <w:tmpl w:val="3542A3A2"/>
    <w:lvl w:ilvl="0" w:tplc="C882B47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09B0365"/>
    <w:multiLevelType w:val="singleLevel"/>
    <w:tmpl w:val="C4708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9">
    <w:nsid w:val="510C107D"/>
    <w:multiLevelType w:val="hybridMultilevel"/>
    <w:tmpl w:val="6BD8A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8684C36"/>
    <w:multiLevelType w:val="singleLevel"/>
    <w:tmpl w:val="07A0FEE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1">
    <w:nsid w:val="58C66E8A"/>
    <w:multiLevelType w:val="singleLevel"/>
    <w:tmpl w:val="F13C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2">
    <w:nsid w:val="60E20973"/>
    <w:multiLevelType w:val="singleLevel"/>
    <w:tmpl w:val="BA666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>
    <w:nsid w:val="64E165DC"/>
    <w:multiLevelType w:val="singleLevel"/>
    <w:tmpl w:val="012C6B8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4">
    <w:nsid w:val="671A1A8D"/>
    <w:multiLevelType w:val="hybridMultilevel"/>
    <w:tmpl w:val="9C80728A"/>
    <w:lvl w:ilvl="0" w:tplc="F8407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A313D9"/>
    <w:multiLevelType w:val="singleLevel"/>
    <w:tmpl w:val="2968E45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6">
    <w:nsid w:val="68C8125A"/>
    <w:multiLevelType w:val="multilevel"/>
    <w:tmpl w:val="678C0734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6298C"/>
    <w:multiLevelType w:val="hybridMultilevel"/>
    <w:tmpl w:val="8522C7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20D38CF"/>
    <w:multiLevelType w:val="singleLevel"/>
    <w:tmpl w:val="2BD0483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9">
    <w:nsid w:val="754061FC"/>
    <w:multiLevelType w:val="singleLevel"/>
    <w:tmpl w:val="B8F40E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0">
    <w:nsid w:val="7E072FD6"/>
    <w:multiLevelType w:val="singleLevel"/>
    <w:tmpl w:val="BBE6DC28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1">
    <w:nsid w:val="7E3A59A7"/>
    <w:multiLevelType w:val="singleLevel"/>
    <w:tmpl w:val="5FB87B3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5"/>
  </w:num>
  <w:num w:numId="3">
    <w:abstractNumId w:val="33"/>
  </w:num>
  <w:num w:numId="4">
    <w:abstractNumId w:val="28"/>
  </w:num>
  <w:num w:numId="5">
    <w:abstractNumId w:val="38"/>
  </w:num>
  <w:num w:numId="6">
    <w:abstractNumId w:val="8"/>
  </w:num>
  <w:num w:numId="7">
    <w:abstractNumId w:val="4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30"/>
  </w:num>
  <w:num w:numId="13">
    <w:abstractNumId w:val="36"/>
  </w:num>
  <w:num w:numId="14">
    <w:abstractNumId w:val="39"/>
  </w:num>
  <w:num w:numId="15">
    <w:abstractNumId w:val="10"/>
  </w:num>
  <w:num w:numId="16">
    <w:abstractNumId w:val="31"/>
  </w:num>
  <w:num w:numId="17">
    <w:abstractNumId w:val="21"/>
  </w:num>
  <w:num w:numId="18">
    <w:abstractNumId w:val="24"/>
  </w:num>
  <w:num w:numId="19">
    <w:abstractNumId w:val="27"/>
  </w:num>
  <w:num w:numId="20">
    <w:abstractNumId w:val="37"/>
  </w:num>
  <w:num w:numId="21">
    <w:abstractNumId w:val="13"/>
  </w:num>
  <w:num w:numId="22">
    <w:abstractNumId w:val="16"/>
  </w:num>
  <w:num w:numId="23">
    <w:abstractNumId w:val="15"/>
  </w:num>
  <w:num w:numId="24">
    <w:abstractNumId w:val="6"/>
  </w:num>
  <w:num w:numId="25">
    <w:abstractNumId w:val="3"/>
  </w:num>
  <w:num w:numId="26">
    <w:abstractNumId w:val="29"/>
  </w:num>
  <w:num w:numId="27">
    <w:abstractNumId w:val="17"/>
  </w:num>
  <w:num w:numId="28">
    <w:abstractNumId w:val="18"/>
  </w:num>
  <w:num w:numId="29">
    <w:abstractNumId w:val="35"/>
  </w:num>
  <w:num w:numId="30">
    <w:abstractNumId w:val="5"/>
  </w:num>
  <w:num w:numId="31">
    <w:abstractNumId w:val="40"/>
  </w:num>
  <w:num w:numId="32">
    <w:abstractNumId w:val="20"/>
  </w:num>
  <w:num w:numId="33">
    <w:abstractNumId w:val="26"/>
  </w:num>
  <w:num w:numId="34">
    <w:abstractNumId w:val="1"/>
  </w:num>
  <w:num w:numId="35">
    <w:abstractNumId w:val="32"/>
  </w:num>
  <w:num w:numId="36">
    <w:abstractNumId w:val="23"/>
  </w:num>
  <w:num w:numId="37">
    <w:abstractNumId w:val="19"/>
  </w:num>
  <w:num w:numId="38">
    <w:abstractNumId w:val="34"/>
  </w:num>
  <w:num w:numId="39">
    <w:abstractNumId w:val="4"/>
  </w:num>
  <w:num w:numId="40">
    <w:abstractNumId w:val="11"/>
  </w:num>
  <w:num w:numId="41">
    <w:abstractNumId w:val="2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537084"/>
    <w:rsid w:val="00031AE1"/>
    <w:rsid w:val="00213EF6"/>
    <w:rsid w:val="002C250D"/>
    <w:rsid w:val="002D575E"/>
    <w:rsid w:val="003107D5"/>
    <w:rsid w:val="00424682"/>
    <w:rsid w:val="00434F5D"/>
    <w:rsid w:val="00537084"/>
    <w:rsid w:val="008462FB"/>
    <w:rsid w:val="008E74B6"/>
    <w:rsid w:val="00992D4F"/>
    <w:rsid w:val="00B435D6"/>
    <w:rsid w:val="00BA2ECD"/>
    <w:rsid w:val="00D9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B6"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</w:rPr>
  </w:style>
  <w:style w:type="paragraph" w:styleId="Heading1">
    <w:name w:val="heading 1"/>
    <w:aliases w:val="Heading 1A,Heading A1"/>
    <w:basedOn w:val="Normal"/>
    <w:next w:val="Normal"/>
    <w:link w:val="Heading1Char"/>
    <w:qFormat/>
    <w:rsid w:val="00537084"/>
    <w:pPr>
      <w:keepNext/>
      <w:widowControl/>
      <w:autoSpaceDE/>
      <w:autoSpaceDN/>
      <w:adjustRightInd/>
      <w:spacing w:before="120" w:after="120"/>
      <w:outlineLvl w:val="0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,Heading A1 Char"/>
    <w:basedOn w:val="DefaultParagraphFont"/>
    <w:link w:val="Heading1"/>
    <w:rsid w:val="00537084"/>
    <w:rPr>
      <w:rFonts w:ascii="Arial" w:eastAsia="Times New Roman" w:hAnsi="Arial" w:cs="Times New Roman"/>
      <w:b/>
      <w:kern w:val="28"/>
      <w:szCs w:val="20"/>
      <w:u w:val="single"/>
    </w:rPr>
  </w:style>
  <w:style w:type="paragraph" w:customStyle="1" w:styleId="Outline1">
    <w:name w:val="Outline 1"/>
    <w:rsid w:val="00537084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0" w:line="240" w:lineRule="auto"/>
      <w:ind w:left="720" w:hanging="720"/>
      <w:outlineLvl w:val="0"/>
    </w:pPr>
    <w:rPr>
      <w:rFonts w:eastAsia="Times New Roman" w:cs="Times New Roman"/>
      <w:sz w:val="22"/>
      <w:szCs w:val="20"/>
    </w:rPr>
  </w:style>
  <w:style w:type="paragraph" w:customStyle="1" w:styleId="Outline2">
    <w:name w:val="Outline 2"/>
    <w:basedOn w:val="Outline1"/>
    <w:rsid w:val="00537084"/>
    <w:pPr>
      <w:ind w:left="1080" w:hanging="360"/>
      <w:outlineLvl w:val="1"/>
    </w:pPr>
  </w:style>
  <w:style w:type="paragraph" w:customStyle="1" w:styleId="Outline3">
    <w:name w:val="Outline 3"/>
    <w:basedOn w:val="Outline1"/>
    <w:rsid w:val="00537084"/>
    <w:pPr>
      <w:ind w:left="1440" w:hanging="360"/>
      <w:outlineLvl w:val="2"/>
    </w:pPr>
  </w:style>
  <w:style w:type="paragraph" w:customStyle="1" w:styleId="Outline4">
    <w:name w:val="Outline 4"/>
    <w:basedOn w:val="Outline1"/>
    <w:rsid w:val="00537084"/>
    <w:pPr>
      <w:tabs>
        <w:tab w:val="left" w:pos="3600"/>
      </w:tabs>
      <w:ind w:left="1800" w:hanging="360"/>
      <w:outlineLvl w:val="3"/>
    </w:pPr>
  </w:style>
  <w:style w:type="paragraph" w:styleId="BodyText">
    <w:name w:val="Body Text"/>
    <w:basedOn w:val="Normal"/>
    <w:link w:val="BodyTextChar"/>
    <w:uiPriority w:val="99"/>
    <w:semiHidden/>
    <w:unhideWhenUsed/>
    <w:rsid w:val="005370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7084"/>
    <w:rPr>
      <w:rFonts w:ascii="Segoe Print" w:hAnsi="Segoe Print"/>
    </w:rPr>
  </w:style>
  <w:style w:type="paragraph" w:customStyle="1" w:styleId="TableBody">
    <w:name w:val="Table Body"/>
    <w:rsid w:val="00213EF6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Outline5">
    <w:name w:val="Outline 5"/>
    <w:basedOn w:val="Outline1"/>
    <w:rsid w:val="00213EF6"/>
    <w:pPr>
      <w:tabs>
        <w:tab w:val="left" w:pos="0"/>
        <w:tab w:val="left" w:pos="600"/>
        <w:tab w:val="left" w:pos="1560"/>
        <w:tab w:val="left" w:pos="2040"/>
      </w:tabs>
      <w:suppressAutoHyphens/>
      <w:ind w:left="2160" w:hanging="360"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2</cp:revision>
  <dcterms:created xsi:type="dcterms:W3CDTF">2022-01-13T17:49:00Z</dcterms:created>
  <dcterms:modified xsi:type="dcterms:W3CDTF">2022-01-13T17:49:00Z</dcterms:modified>
</cp:coreProperties>
</file>