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5" w:type="dxa"/>
        <w:tblInd w:w="23" w:type="dxa"/>
        <w:tblBorders>
          <w:insideV w:val="single" w:sz="4" w:space="0" w:color="auto"/>
        </w:tblBorders>
        <w:tblCellMar>
          <w:left w:w="115" w:type="dxa"/>
          <w:right w:w="115" w:type="dxa"/>
        </w:tblCellMar>
        <w:tblLook w:val="0000"/>
      </w:tblPr>
      <w:tblGrid>
        <w:gridCol w:w="9805"/>
        <w:gridCol w:w="450"/>
      </w:tblGrid>
      <w:tr w:rsidR="00CF6E31" w:rsidTr="00E80B42">
        <w:tc>
          <w:tcPr>
            <w:tcW w:w="10255" w:type="dxa"/>
            <w:gridSpan w:val="2"/>
          </w:tcPr>
          <w:p w:rsidR="00CF6E31" w:rsidRDefault="00CF6E31" w:rsidP="00E80B42">
            <w:pPr>
              <w:pStyle w:val="Heading1"/>
            </w:pPr>
            <w:r>
              <w:rPr>
                <w:b w:val="0"/>
              </w:rPr>
              <w:br w:type="page"/>
            </w:r>
            <w:r>
              <w:t xml:space="preserve">Chapter </w:t>
            </w:r>
            <w:r>
              <w:t xml:space="preserve">22  </w:t>
            </w:r>
            <w:r>
              <w:t>Outline</w:t>
            </w:r>
          </w:p>
          <w:p w:rsidR="00CF6E31" w:rsidRPr="002A24F0" w:rsidRDefault="00CF6E31" w:rsidP="00CF6E31">
            <w:pPr>
              <w:pStyle w:val="Outline1"/>
              <w:numPr>
                <w:ilvl w:val="0"/>
                <w:numId w:val="14"/>
              </w:numPr>
            </w:pPr>
            <w:r w:rsidRPr="008C4830">
              <w:rPr>
                <w:b/>
              </w:rPr>
              <w:t>Responsibility Accountin</w:t>
            </w:r>
            <w:r>
              <w:rPr>
                <w:b/>
              </w:rPr>
              <w:t>g</w:t>
            </w:r>
          </w:p>
          <w:p w:rsidR="00CF6E31" w:rsidRDefault="00CF6E31" w:rsidP="00CF6E31">
            <w:pPr>
              <w:pStyle w:val="Outline1"/>
              <w:numPr>
                <w:ilvl w:val="0"/>
                <w:numId w:val="27"/>
              </w:numPr>
            </w:pPr>
            <w:r w:rsidDel="008C4830">
              <w:t xml:space="preserve"> </w:t>
            </w:r>
            <w:r>
              <w:t>Performance Evaluation</w:t>
            </w:r>
          </w:p>
          <w:p w:rsidR="00CF6E31" w:rsidRDefault="00CF6E31" w:rsidP="00CF6E31">
            <w:pPr>
              <w:pStyle w:val="Outline3"/>
              <w:numPr>
                <w:ilvl w:val="0"/>
                <w:numId w:val="4"/>
              </w:numPr>
              <w:tabs>
                <w:tab w:val="clear" w:pos="1800"/>
                <w:tab w:val="clear" w:pos="2160"/>
                <w:tab w:val="clear" w:pos="2520"/>
                <w:tab w:val="clear" w:pos="2880"/>
                <w:tab w:val="left" w:pos="1440"/>
              </w:tabs>
              <w:ind w:left="1440" w:hanging="360"/>
            </w:pPr>
            <w:r>
              <w:t xml:space="preserve">Large companies are easier to manage if divided into smaller units called </w:t>
            </w:r>
            <w:r w:rsidRPr="002A24F0">
              <w:rPr>
                <w:i/>
              </w:rPr>
              <w:t>divisions</w:t>
            </w:r>
            <w:r>
              <w:t xml:space="preserve">, </w:t>
            </w:r>
            <w:r w:rsidRPr="002A24F0">
              <w:rPr>
                <w:i/>
              </w:rPr>
              <w:t>segments</w:t>
            </w:r>
            <w:r>
              <w:t xml:space="preserve">, or </w:t>
            </w:r>
            <w:r w:rsidRPr="002A24F0">
              <w:rPr>
                <w:i/>
              </w:rPr>
              <w:t>departments</w:t>
            </w:r>
            <w:r>
              <w:t xml:space="preserve">. </w:t>
            </w:r>
          </w:p>
          <w:p w:rsidR="00CF6E31" w:rsidRDefault="00CF6E31" w:rsidP="00CF6E31">
            <w:pPr>
              <w:pStyle w:val="Outline3"/>
              <w:numPr>
                <w:ilvl w:val="0"/>
                <w:numId w:val="4"/>
              </w:numPr>
              <w:tabs>
                <w:tab w:val="clear" w:pos="1800"/>
                <w:tab w:val="clear" w:pos="2160"/>
                <w:tab w:val="clear" w:pos="2520"/>
                <w:tab w:val="clear" w:pos="2880"/>
                <w:tab w:val="left" w:pos="1440"/>
              </w:tabs>
              <w:ind w:left="1440" w:hanging="360"/>
            </w:pPr>
            <w:r>
              <w:t xml:space="preserve">In </w:t>
            </w:r>
            <w:r w:rsidRPr="002A24F0">
              <w:rPr>
                <w:b/>
              </w:rPr>
              <w:t>decentralized</w:t>
            </w:r>
            <w:r>
              <w:t xml:space="preserve"> </w:t>
            </w:r>
            <w:r w:rsidRPr="003A250C">
              <w:rPr>
                <w:b/>
                <w:bCs/>
              </w:rPr>
              <w:t>organizations</w:t>
            </w:r>
            <w:r>
              <w:t>, unit managers make decisions and top management evaluates their performance.</w:t>
            </w:r>
          </w:p>
          <w:p w:rsidR="00CF6E31" w:rsidRDefault="00CF6E31" w:rsidP="00CF6E31">
            <w:pPr>
              <w:pStyle w:val="Outline3"/>
              <w:numPr>
                <w:ilvl w:val="0"/>
                <w:numId w:val="4"/>
              </w:numPr>
              <w:tabs>
                <w:tab w:val="clear" w:pos="1800"/>
                <w:tab w:val="clear" w:pos="2160"/>
                <w:tab w:val="clear" w:pos="2520"/>
                <w:tab w:val="clear" w:pos="2880"/>
                <w:tab w:val="left" w:pos="1440"/>
              </w:tabs>
              <w:ind w:left="1440" w:hanging="360"/>
            </w:pPr>
            <w:r>
              <w:rPr>
                <w:b/>
              </w:rPr>
              <w:t>R</w:t>
            </w:r>
            <w:r w:rsidRPr="002A24F0">
              <w:rPr>
                <w:b/>
              </w:rPr>
              <w:t>esponsibility</w:t>
            </w:r>
            <w:r>
              <w:t xml:space="preserve"> </w:t>
            </w:r>
            <w:r w:rsidRPr="003A250C">
              <w:rPr>
                <w:b/>
                <w:bCs/>
              </w:rPr>
              <w:t>accounting</w:t>
            </w:r>
            <w:r>
              <w:rPr>
                <w:b/>
                <w:bCs/>
              </w:rPr>
              <w:t xml:space="preserve"> </w:t>
            </w:r>
            <w:r>
              <w:t xml:space="preserve">evaluates unit managers only on activities they can control. </w:t>
            </w:r>
          </w:p>
          <w:p w:rsidR="00CF6E31" w:rsidRDefault="00CF6E31" w:rsidP="00CF6E31">
            <w:pPr>
              <w:pStyle w:val="Outline3"/>
              <w:numPr>
                <w:ilvl w:val="0"/>
                <w:numId w:val="4"/>
              </w:numPr>
              <w:tabs>
                <w:tab w:val="clear" w:pos="1800"/>
                <w:tab w:val="clear" w:pos="2160"/>
                <w:tab w:val="clear" w:pos="2520"/>
                <w:tab w:val="clear" w:pos="2880"/>
                <w:tab w:val="left" w:pos="1440"/>
              </w:tabs>
              <w:ind w:left="1440" w:hanging="360"/>
            </w:pPr>
            <w:r>
              <w:t>The methods of performance evaluation vary for cost centers, profit centers and investment centers.</w:t>
            </w:r>
          </w:p>
          <w:p w:rsidR="00CF6E31" w:rsidRDefault="00CF6E31" w:rsidP="00CF6E31">
            <w:pPr>
              <w:pStyle w:val="Outline4"/>
              <w:numPr>
                <w:ilvl w:val="0"/>
                <w:numId w:val="18"/>
              </w:numPr>
            </w:pPr>
            <w:r>
              <w:t>Cost center</w:t>
            </w:r>
            <w:r>
              <w:sym w:font="Symbol" w:char="F0BE"/>
            </w:r>
            <w:r>
              <w:t xml:space="preserve">incurs costs without generating revenues (e.g. manufacturing departments and service departments). </w:t>
            </w:r>
          </w:p>
          <w:p w:rsidR="00CF6E31" w:rsidRDefault="00CF6E31" w:rsidP="00CF6E31">
            <w:pPr>
              <w:pStyle w:val="Outline4"/>
              <w:numPr>
                <w:ilvl w:val="0"/>
                <w:numId w:val="18"/>
              </w:numPr>
            </w:pPr>
            <w:r>
              <w:t>Profit center</w:t>
            </w:r>
            <w:r>
              <w:sym w:font="Symbol" w:char="F0BE"/>
            </w:r>
            <w:r>
              <w:t xml:space="preserve">incurs costs and generates revenues (e.g. product lines). </w:t>
            </w:r>
          </w:p>
          <w:p w:rsidR="00CF6E31" w:rsidRDefault="00CF6E31" w:rsidP="00CF6E31">
            <w:pPr>
              <w:pStyle w:val="Outline4"/>
              <w:numPr>
                <w:ilvl w:val="0"/>
                <w:numId w:val="18"/>
              </w:numPr>
            </w:pPr>
            <w:r>
              <w:t>Investment center</w:t>
            </w:r>
            <w:r>
              <w:sym w:font="Symbol" w:char="F0BE"/>
            </w:r>
            <w:r>
              <w:t xml:space="preserve">incurs costs, generates revenues and its managers is responsible for major investing decisions.  </w:t>
            </w:r>
          </w:p>
          <w:p w:rsidR="00CF6E31" w:rsidRDefault="00CF6E31" w:rsidP="00CF6E31">
            <w:pPr>
              <w:pStyle w:val="Outline3"/>
              <w:numPr>
                <w:ilvl w:val="0"/>
                <w:numId w:val="4"/>
              </w:numPr>
              <w:tabs>
                <w:tab w:val="clear" w:pos="1800"/>
                <w:tab w:val="clear" w:pos="2160"/>
                <w:tab w:val="clear" w:pos="2520"/>
                <w:tab w:val="clear" w:pos="2880"/>
                <w:tab w:val="left" w:pos="1440"/>
              </w:tabs>
              <w:ind w:left="1440" w:hanging="360"/>
            </w:pPr>
            <w:r>
              <w:t>Basis for evaluating performance:</w:t>
            </w:r>
          </w:p>
          <w:p w:rsidR="00CF6E31" w:rsidRDefault="00CF6E31" w:rsidP="00CF6E31">
            <w:pPr>
              <w:pStyle w:val="Outline4"/>
              <w:numPr>
                <w:ilvl w:val="0"/>
                <w:numId w:val="10"/>
              </w:numPr>
            </w:pPr>
            <w:r>
              <w:t xml:space="preserve">Cost center managers are evaluated on their success in controlling actual costs compared to budgeted costs. </w:t>
            </w:r>
          </w:p>
          <w:p w:rsidR="00CF6E31" w:rsidRDefault="00CF6E31" w:rsidP="00CF6E31">
            <w:pPr>
              <w:pStyle w:val="Outline4"/>
              <w:numPr>
                <w:ilvl w:val="0"/>
                <w:numId w:val="10"/>
              </w:numPr>
            </w:pPr>
            <w:r>
              <w:t>Profit center managers are evaluated on their success in generating income.</w:t>
            </w:r>
          </w:p>
          <w:p w:rsidR="00CF6E31" w:rsidRDefault="00CF6E31" w:rsidP="00CF6E31">
            <w:pPr>
              <w:pStyle w:val="Outline4"/>
              <w:numPr>
                <w:ilvl w:val="0"/>
                <w:numId w:val="10"/>
              </w:numPr>
            </w:pPr>
            <w:r>
              <w:t>Investment center managers are evaluated on their use of assets to generate income.</w:t>
            </w:r>
          </w:p>
          <w:p w:rsidR="00CF6E31" w:rsidRPr="00E72734" w:rsidRDefault="00CF6E31" w:rsidP="00CF6E31">
            <w:pPr>
              <w:pStyle w:val="Outline1"/>
              <w:numPr>
                <w:ilvl w:val="0"/>
                <w:numId w:val="14"/>
              </w:numPr>
              <w:rPr>
                <w:b/>
              </w:rPr>
            </w:pPr>
            <w:r>
              <w:rPr>
                <w:b/>
              </w:rPr>
              <w:t>Controllable versus Uncontrollable Costs</w:t>
            </w:r>
          </w:p>
          <w:p w:rsidR="00CF6E31" w:rsidRPr="00E72734" w:rsidRDefault="00CF6E31" w:rsidP="00CF6E31">
            <w:pPr>
              <w:pStyle w:val="Outline2"/>
              <w:numPr>
                <w:ilvl w:val="0"/>
                <w:numId w:val="15"/>
              </w:numPr>
              <w:tabs>
                <w:tab w:val="clear" w:pos="1440"/>
                <w:tab w:val="clear" w:pos="1800"/>
              </w:tabs>
            </w:pPr>
            <w:r w:rsidRPr="00E72734">
              <w:t>Controllable Costs</w:t>
            </w:r>
            <w:r>
              <w:t xml:space="preserve"> -</w:t>
            </w:r>
          </w:p>
          <w:p w:rsidR="00CF6E31" w:rsidRDefault="00CF6E31" w:rsidP="00CF6E31">
            <w:pPr>
              <w:pStyle w:val="Outline3"/>
              <w:numPr>
                <w:ilvl w:val="0"/>
                <w:numId w:val="7"/>
              </w:numPr>
              <w:tabs>
                <w:tab w:val="clear" w:pos="1800"/>
                <w:tab w:val="clear" w:pos="2160"/>
                <w:tab w:val="clear" w:pos="2520"/>
                <w:tab w:val="clear" w:pos="2880"/>
                <w:tab w:val="left" w:pos="1440"/>
              </w:tabs>
              <w:ind w:left="1440" w:hanging="360"/>
            </w:pPr>
            <w:r>
              <w:t>Costs a manager can determine or influence.</w:t>
            </w:r>
          </w:p>
          <w:p w:rsidR="00CF6E31" w:rsidRDefault="00CF6E31" w:rsidP="00CF6E31">
            <w:pPr>
              <w:pStyle w:val="Outline3"/>
              <w:numPr>
                <w:ilvl w:val="0"/>
                <w:numId w:val="15"/>
              </w:numPr>
              <w:tabs>
                <w:tab w:val="clear" w:pos="1800"/>
                <w:tab w:val="clear" w:pos="2160"/>
                <w:tab w:val="clear" w:pos="2520"/>
                <w:tab w:val="clear" w:pos="2880"/>
                <w:tab w:val="left" w:pos="1440"/>
              </w:tabs>
            </w:pPr>
            <w:r>
              <w:t xml:space="preserve"> Uncontrollable costs – </w:t>
            </w:r>
          </w:p>
          <w:p w:rsidR="00CF6E31" w:rsidRDefault="00CF6E31" w:rsidP="00CF6E31">
            <w:pPr>
              <w:pStyle w:val="Outline3"/>
              <w:numPr>
                <w:ilvl w:val="1"/>
                <w:numId w:val="15"/>
              </w:numPr>
              <w:tabs>
                <w:tab w:val="clear" w:pos="1080"/>
                <w:tab w:val="clear" w:pos="1800"/>
                <w:tab w:val="clear" w:pos="2160"/>
                <w:tab w:val="clear" w:pos="2520"/>
                <w:tab w:val="clear" w:pos="2880"/>
                <w:tab w:val="left" w:pos="1440"/>
              </w:tabs>
            </w:pPr>
            <w:r>
              <w:t>Costs not within the manager’s control or influence.</w:t>
            </w:r>
          </w:p>
          <w:p w:rsidR="00CF6E31" w:rsidRDefault="00CF6E31" w:rsidP="00CF6E31">
            <w:pPr>
              <w:pStyle w:val="Outline3"/>
              <w:numPr>
                <w:ilvl w:val="0"/>
                <w:numId w:val="7"/>
              </w:numPr>
              <w:tabs>
                <w:tab w:val="clear" w:pos="2160"/>
                <w:tab w:val="clear" w:pos="2520"/>
                <w:tab w:val="clear" w:pos="2880"/>
                <w:tab w:val="left" w:pos="1440"/>
              </w:tabs>
              <w:ind w:left="1440" w:hanging="360"/>
            </w:pPr>
            <w:r w:rsidRPr="005E30D3">
              <w:t>A</w:t>
            </w:r>
            <w:r w:rsidRPr="00BC462C">
              <w:t xml:space="preserve"> manager’s performance</w:t>
            </w:r>
            <w:r>
              <w:t xml:space="preserve"> is evaluated</w:t>
            </w:r>
            <w:r w:rsidRPr="00BC462C">
              <w:t xml:space="preserve"> </w:t>
            </w:r>
            <w:r>
              <w:t xml:space="preserve">using responsibility accounting performance reports that list actual costs that a manager is responsible for and their budgeted amounts. </w:t>
            </w:r>
          </w:p>
          <w:p w:rsidR="00CF6E31" w:rsidRDefault="00CF6E31" w:rsidP="00CF6E31">
            <w:pPr>
              <w:pStyle w:val="Outline3"/>
              <w:numPr>
                <w:ilvl w:val="0"/>
                <w:numId w:val="7"/>
              </w:numPr>
              <w:tabs>
                <w:tab w:val="clear" w:pos="2160"/>
                <w:tab w:val="clear" w:pos="2520"/>
                <w:tab w:val="clear" w:pos="2880"/>
                <w:tab w:val="left" w:pos="1440"/>
              </w:tabs>
              <w:ind w:left="1440" w:hanging="360"/>
            </w:pPr>
            <w:r>
              <w:t>Distinguishing between controllable and uncontrollable costs depends on the particular manager and the time period under analysis.</w:t>
            </w:r>
          </w:p>
          <w:p w:rsidR="00CF6E31" w:rsidRDefault="00CF6E31" w:rsidP="00CF6E31">
            <w:pPr>
              <w:pStyle w:val="Outline3"/>
              <w:numPr>
                <w:ilvl w:val="0"/>
                <w:numId w:val="7"/>
              </w:numPr>
              <w:tabs>
                <w:tab w:val="clear" w:pos="2160"/>
                <w:tab w:val="clear" w:pos="2520"/>
                <w:tab w:val="clear" w:pos="2880"/>
                <w:tab w:val="left" w:pos="1440"/>
              </w:tabs>
              <w:ind w:left="1440" w:hanging="360"/>
            </w:pPr>
            <w:r>
              <w:t>All costs are controllable at some level of management if the time period is sufficiently long.</w:t>
            </w:r>
          </w:p>
        </w:tc>
      </w:tr>
      <w:tr w:rsidR="00CF6E31" w:rsidTr="00E80B42">
        <w:tc>
          <w:tcPr>
            <w:tcW w:w="10255" w:type="dxa"/>
            <w:gridSpan w:val="2"/>
          </w:tcPr>
          <w:p w:rsidR="00CF6E31" w:rsidRDefault="00CF6E31" w:rsidP="00E80B42">
            <w:pPr>
              <w:pStyle w:val="Outline2"/>
              <w:numPr>
                <w:ilvl w:val="0"/>
                <w:numId w:val="1"/>
              </w:numPr>
              <w:tabs>
                <w:tab w:val="clear" w:pos="1800"/>
                <w:tab w:val="clear" w:pos="2520"/>
              </w:tabs>
            </w:pPr>
            <w:r>
              <w:t>Responsibility Accounting Performance Report</w:t>
            </w:r>
          </w:p>
          <w:p w:rsidR="00CF6E31" w:rsidRDefault="00CF6E31" w:rsidP="00CF6E31">
            <w:pPr>
              <w:pStyle w:val="Outline3"/>
              <w:numPr>
                <w:ilvl w:val="0"/>
                <w:numId w:val="11"/>
              </w:numPr>
              <w:tabs>
                <w:tab w:val="clear" w:pos="1080"/>
                <w:tab w:val="clear" w:pos="1800"/>
                <w:tab w:val="clear" w:pos="2160"/>
                <w:tab w:val="num" w:pos="1440"/>
              </w:tabs>
              <w:spacing w:before="40"/>
              <w:ind w:left="1440"/>
            </w:pPr>
            <w:r>
              <w:t>Reports actual costs that a manager is responsible for and their budgeted amounts.</w:t>
            </w:r>
          </w:p>
          <w:p w:rsidR="00CF6E31" w:rsidRDefault="00CF6E31" w:rsidP="00CF6E31">
            <w:pPr>
              <w:pStyle w:val="Outline4"/>
              <w:numPr>
                <w:ilvl w:val="0"/>
                <w:numId w:val="19"/>
              </w:numPr>
              <w:tabs>
                <w:tab w:val="left" w:pos="1800"/>
              </w:tabs>
            </w:pPr>
            <w:r>
              <w:t>Analysis of differences between actual and budgeted amounts often results in corrective or strategic managerial actions.</w:t>
            </w:r>
          </w:p>
          <w:p w:rsidR="00CF6E31" w:rsidRDefault="00CF6E31" w:rsidP="00CF6E31">
            <w:pPr>
              <w:pStyle w:val="Outline4"/>
              <w:numPr>
                <w:ilvl w:val="0"/>
                <w:numId w:val="19"/>
              </w:numPr>
            </w:pPr>
            <w:r>
              <w:t>Recognizes that control over costs and expenses belongs to several layers of management.</w:t>
            </w:r>
          </w:p>
          <w:p w:rsidR="00CF6E31" w:rsidRDefault="00CF6E31" w:rsidP="00CF6E31">
            <w:pPr>
              <w:pStyle w:val="Outline4"/>
              <w:numPr>
                <w:ilvl w:val="0"/>
                <w:numId w:val="19"/>
              </w:numPr>
            </w:pPr>
            <w:r>
              <w:t>Provides relevant information for each management level.</w:t>
            </w:r>
          </w:p>
          <w:p w:rsidR="00CF6E31" w:rsidRDefault="00CF6E31" w:rsidP="00CF6E31">
            <w:pPr>
              <w:pStyle w:val="Outline4"/>
              <w:numPr>
                <w:ilvl w:val="0"/>
                <w:numId w:val="19"/>
              </w:numPr>
            </w:pPr>
            <w:r>
              <w:t>Lower-level managers have responsibility for more detailed costs.</w:t>
            </w:r>
          </w:p>
          <w:p w:rsidR="00CF6E31" w:rsidRDefault="00CF6E31" w:rsidP="00CF6E31">
            <w:pPr>
              <w:pStyle w:val="Outline4"/>
              <w:numPr>
                <w:ilvl w:val="0"/>
                <w:numId w:val="19"/>
              </w:numPr>
            </w:pPr>
            <w:r>
              <w:t>Higher-level managers are responsible for larger and broader costs.</w:t>
            </w:r>
          </w:p>
          <w:p w:rsidR="00CF6E31" w:rsidRDefault="00CF6E31" w:rsidP="00CF6E31">
            <w:pPr>
              <w:pStyle w:val="Outline4"/>
              <w:numPr>
                <w:ilvl w:val="0"/>
                <w:numId w:val="19"/>
              </w:numPr>
            </w:pPr>
            <w:r>
              <w:t>Reports to higher-level managers usually are less detailed because lower-level managers are responsible for detailed costs and detailed reports can distract from key issues facing top managers.</w:t>
            </w:r>
          </w:p>
          <w:p w:rsidR="00CF6E31" w:rsidRDefault="00CF6E31" w:rsidP="00E80B42">
            <w:pPr>
              <w:pStyle w:val="Outline4"/>
              <w:tabs>
                <w:tab w:val="clear" w:pos="1800"/>
              </w:tabs>
              <w:ind w:left="360"/>
              <w:rPr>
                <w:rFonts w:ascii="Arial" w:hAnsi="Arial"/>
                <w:b/>
                <w:kern w:val="28"/>
                <w:sz w:val="24"/>
                <w:u w:val="single"/>
              </w:rPr>
            </w:pPr>
          </w:p>
          <w:p w:rsidR="00CF6E31" w:rsidRDefault="00CF6E31" w:rsidP="00E80B42">
            <w:pPr>
              <w:pStyle w:val="Outline4"/>
              <w:tabs>
                <w:tab w:val="clear" w:pos="1800"/>
              </w:tabs>
              <w:ind w:left="360"/>
              <w:rPr>
                <w:rFonts w:ascii="Arial" w:hAnsi="Arial"/>
                <w:b/>
                <w:kern w:val="28"/>
                <w:sz w:val="24"/>
                <w:u w:val="single"/>
              </w:rPr>
            </w:pPr>
          </w:p>
          <w:p w:rsidR="00CF6E31" w:rsidRDefault="00CF6E31" w:rsidP="00E80B42">
            <w:pPr>
              <w:pStyle w:val="Outline4"/>
              <w:tabs>
                <w:tab w:val="clear" w:pos="1800"/>
              </w:tabs>
              <w:ind w:left="360"/>
              <w:rPr>
                <w:rFonts w:ascii="Arial" w:hAnsi="Arial"/>
                <w:b/>
                <w:kern w:val="28"/>
                <w:sz w:val="24"/>
                <w:u w:val="single"/>
              </w:rPr>
            </w:pPr>
          </w:p>
          <w:p w:rsidR="00CF6E31" w:rsidRDefault="00CF6E31" w:rsidP="00E80B42">
            <w:pPr>
              <w:pStyle w:val="Outline4"/>
              <w:tabs>
                <w:tab w:val="clear" w:pos="1800"/>
              </w:tabs>
            </w:pPr>
          </w:p>
          <w:p w:rsidR="00CF6E31" w:rsidRPr="00204374" w:rsidRDefault="00CF6E31" w:rsidP="00CF6E31">
            <w:pPr>
              <w:pStyle w:val="Outline1"/>
              <w:numPr>
                <w:ilvl w:val="0"/>
                <w:numId w:val="14"/>
              </w:numPr>
              <w:rPr>
                <w:b/>
              </w:rPr>
            </w:pPr>
            <w:r w:rsidRPr="00204374">
              <w:rPr>
                <w:b/>
              </w:rPr>
              <w:t>Profit Center</w:t>
            </w:r>
            <w:r>
              <w:rPr>
                <w:b/>
              </w:rPr>
              <w:t>s</w:t>
            </w:r>
            <w:r w:rsidRPr="00204374">
              <w:rPr>
                <w:b/>
              </w:rPr>
              <w:t xml:space="preserve"> </w:t>
            </w:r>
          </w:p>
          <w:p w:rsidR="00CF6E31" w:rsidRDefault="00CF6E31" w:rsidP="00CF6E31">
            <w:pPr>
              <w:pStyle w:val="Outline2"/>
              <w:numPr>
                <w:ilvl w:val="0"/>
                <w:numId w:val="16"/>
              </w:numPr>
              <w:tabs>
                <w:tab w:val="clear" w:pos="1440"/>
                <w:tab w:val="clear" w:pos="1800"/>
              </w:tabs>
            </w:pPr>
            <w:r>
              <w:t>The responsibility accounting focuses on how well each department-controlled costs and generated revenues.</w:t>
            </w:r>
          </w:p>
          <w:p w:rsidR="00CF6E31" w:rsidRDefault="00CF6E31" w:rsidP="00CF6E31">
            <w:pPr>
              <w:pStyle w:val="Outline2"/>
              <w:numPr>
                <w:ilvl w:val="0"/>
                <w:numId w:val="16"/>
              </w:numPr>
              <w:tabs>
                <w:tab w:val="clear" w:pos="1440"/>
                <w:tab w:val="clear" w:pos="1800"/>
              </w:tabs>
            </w:pPr>
            <w:r>
              <w:rPr>
                <w:b/>
              </w:rPr>
              <w:t>D</w:t>
            </w:r>
            <w:r w:rsidRPr="008B545A">
              <w:rPr>
                <w:b/>
              </w:rPr>
              <w:t>epartmental</w:t>
            </w:r>
            <w:r>
              <w:t xml:space="preserve"> </w:t>
            </w:r>
            <w:r w:rsidRPr="008B545A">
              <w:rPr>
                <w:b/>
              </w:rPr>
              <w:t>income</w:t>
            </w:r>
            <w:r>
              <w:t xml:space="preserve"> </w:t>
            </w:r>
            <w:r w:rsidRPr="008B545A">
              <w:rPr>
                <w:b/>
              </w:rPr>
              <w:t>statement</w:t>
            </w:r>
            <w:r>
              <w:rPr>
                <w:b/>
              </w:rPr>
              <w:t>s</w:t>
            </w:r>
            <w:r>
              <w:t xml:space="preserve"> are used to report profit center performance.</w:t>
            </w:r>
          </w:p>
          <w:p w:rsidR="00CF6E31" w:rsidRDefault="00CF6E31" w:rsidP="00CF6E31">
            <w:pPr>
              <w:pStyle w:val="Outline2"/>
              <w:numPr>
                <w:ilvl w:val="0"/>
                <w:numId w:val="16"/>
              </w:numPr>
              <w:tabs>
                <w:tab w:val="clear" w:pos="1440"/>
                <w:tab w:val="clear" w:pos="1800"/>
              </w:tabs>
            </w:pPr>
            <w:r>
              <w:t>When computing department income, we make two decisions for allocating expenses:</w:t>
            </w:r>
          </w:p>
          <w:p w:rsidR="00CF6E31" w:rsidRDefault="00CF6E31" w:rsidP="00CF6E31">
            <w:pPr>
              <w:pStyle w:val="Outline2"/>
              <w:numPr>
                <w:ilvl w:val="1"/>
                <w:numId w:val="16"/>
              </w:numPr>
              <w:tabs>
                <w:tab w:val="clear" w:pos="1080"/>
                <w:tab w:val="clear" w:pos="1440"/>
                <w:tab w:val="clear" w:pos="1800"/>
              </w:tabs>
            </w:pPr>
            <w:r>
              <w:t>How to allocate indirect expenses, such as rent and utilities which benefit several departments.</w:t>
            </w:r>
          </w:p>
          <w:p w:rsidR="00CF6E31" w:rsidRDefault="00CF6E31" w:rsidP="00CF6E31">
            <w:pPr>
              <w:pStyle w:val="Outline2"/>
              <w:numPr>
                <w:ilvl w:val="1"/>
                <w:numId w:val="16"/>
              </w:numPr>
              <w:tabs>
                <w:tab w:val="clear" w:pos="1080"/>
                <w:tab w:val="clear" w:pos="1440"/>
                <w:tab w:val="clear" w:pos="1800"/>
              </w:tabs>
            </w:pPr>
            <w:r>
              <w:t xml:space="preserve">How to allocate service department expenses, such as payroll and </w:t>
            </w:r>
            <w:proofErr w:type="gramStart"/>
            <w:r>
              <w:t>purchasing, that</w:t>
            </w:r>
            <w:proofErr w:type="gramEnd"/>
            <w:r>
              <w:t xml:space="preserve"> benefit several departments.</w:t>
            </w:r>
          </w:p>
          <w:p w:rsidR="00CF6E31" w:rsidRDefault="00CF6E31" w:rsidP="00CF6E31">
            <w:pPr>
              <w:pStyle w:val="Outline2"/>
              <w:numPr>
                <w:ilvl w:val="0"/>
                <w:numId w:val="16"/>
              </w:numPr>
              <w:tabs>
                <w:tab w:val="clear" w:pos="1440"/>
                <w:tab w:val="clear" w:pos="1800"/>
              </w:tabs>
            </w:pPr>
            <w:r>
              <w:t>Expenses</w:t>
            </w:r>
          </w:p>
          <w:p w:rsidR="00CF6E31" w:rsidRDefault="00CF6E31" w:rsidP="00CF6E31">
            <w:pPr>
              <w:pStyle w:val="Outline3"/>
              <w:numPr>
                <w:ilvl w:val="0"/>
                <w:numId w:val="23"/>
              </w:numPr>
              <w:tabs>
                <w:tab w:val="clear" w:pos="2160"/>
                <w:tab w:val="clear" w:pos="2520"/>
                <w:tab w:val="clear" w:pos="2880"/>
                <w:tab w:val="left" w:pos="1440"/>
              </w:tabs>
              <w:ind w:left="1440" w:hanging="360"/>
            </w:pPr>
            <w:r w:rsidRPr="00136BD8">
              <w:rPr>
                <w:i/>
              </w:rPr>
              <w:t xml:space="preserve">Direct </w:t>
            </w:r>
            <w:r>
              <w:rPr>
                <w:i/>
              </w:rPr>
              <w:t>e</w:t>
            </w:r>
            <w:r w:rsidRPr="00136BD8">
              <w:rPr>
                <w:i/>
              </w:rPr>
              <w:t>xpenses</w:t>
            </w:r>
            <w:r>
              <w:t xml:space="preserve"> are readily traced to a department. </w:t>
            </w:r>
          </w:p>
          <w:p w:rsidR="00CF6E31" w:rsidRDefault="00CF6E31" w:rsidP="00CF6E31">
            <w:pPr>
              <w:pStyle w:val="Outline4"/>
              <w:numPr>
                <w:ilvl w:val="0"/>
                <w:numId w:val="17"/>
              </w:numPr>
            </w:pPr>
            <w:r>
              <w:t>Incurred for sole benefit of that one department; no allocation required.</w:t>
            </w:r>
          </w:p>
          <w:p w:rsidR="00CF6E31" w:rsidRDefault="00CF6E31" w:rsidP="00CF6E31">
            <w:pPr>
              <w:pStyle w:val="Outline4"/>
              <w:numPr>
                <w:ilvl w:val="0"/>
                <w:numId w:val="17"/>
              </w:numPr>
            </w:pPr>
            <w:r>
              <w:t>Often, but not always, controllable costs.</w:t>
            </w:r>
          </w:p>
          <w:p w:rsidR="00CF6E31" w:rsidRDefault="00CF6E31" w:rsidP="00CF6E31">
            <w:pPr>
              <w:pStyle w:val="Outline3"/>
              <w:numPr>
                <w:ilvl w:val="0"/>
                <w:numId w:val="23"/>
              </w:numPr>
              <w:tabs>
                <w:tab w:val="clear" w:pos="2160"/>
                <w:tab w:val="clear" w:pos="2520"/>
                <w:tab w:val="clear" w:pos="2880"/>
                <w:tab w:val="left" w:pos="1440"/>
              </w:tabs>
              <w:ind w:left="1440" w:hanging="360"/>
            </w:pPr>
            <w:r w:rsidRPr="00136BD8">
              <w:rPr>
                <w:i/>
              </w:rPr>
              <w:t xml:space="preserve">Indirect </w:t>
            </w:r>
            <w:r>
              <w:rPr>
                <w:i/>
              </w:rPr>
              <w:t>e</w:t>
            </w:r>
            <w:r w:rsidRPr="00136BD8">
              <w:rPr>
                <w:i/>
              </w:rPr>
              <w:t>xpenses</w:t>
            </w:r>
            <w:r>
              <w:t xml:space="preserve"> are incurred for joint benefit of more than one department; can’t be readily traced to just one department.</w:t>
            </w:r>
          </w:p>
          <w:p w:rsidR="00CF6E31" w:rsidRDefault="00CF6E31" w:rsidP="00CF6E31">
            <w:pPr>
              <w:pStyle w:val="Outline4"/>
              <w:numPr>
                <w:ilvl w:val="0"/>
                <w:numId w:val="24"/>
              </w:numPr>
            </w:pPr>
            <w:r>
              <w:t>Allocated across departments benefiting from them.</w:t>
            </w:r>
          </w:p>
          <w:p w:rsidR="00CF6E31" w:rsidRDefault="00CF6E31" w:rsidP="00CF6E31">
            <w:pPr>
              <w:pStyle w:val="Outline4"/>
              <w:numPr>
                <w:ilvl w:val="0"/>
                <w:numId w:val="24"/>
              </w:numPr>
            </w:pPr>
            <w:r>
              <w:t>Ideally allocated to departments that benefit from them.</w:t>
            </w:r>
          </w:p>
          <w:p w:rsidR="00CF6E31" w:rsidRDefault="00CF6E31" w:rsidP="00CF6E31">
            <w:pPr>
              <w:pStyle w:val="Outline2"/>
              <w:numPr>
                <w:ilvl w:val="0"/>
                <w:numId w:val="16"/>
              </w:numPr>
              <w:tabs>
                <w:tab w:val="clear" w:pos="1440"/>
                <w:tab w:val="clear" w:pos="1800"/>
              </w:tabs>
            </w:pPr>
            <w:r>
              <w:t xml:space="preserve">Expense Allocations – indirect expenses and service department expenses are allocated to departments that benefit from them. </w:t>
            </w:r>
          </w:p>
          <w:p w:rsidR="00CF6E31" w:rsidRDefault="00CF6E31" w:rsidP="00CF6E31">
            <w:pPr>
              <w:pStyle w:val="Outline2"/>
              <w:numPr>
                <w:ilvl w:val="1"/>
                <w:numId w:val="16"/>
              </w:numPr>
              <w:tabs>
                <w:tab w:val="clear" w:pos="1080"/>
                <w:tab w:val="clear" w:pos="1440"/>
                <w:tab w:val="clear" w:pos="1800"/>
              </w:tabs>
            </w:pPr>
            <w:r>
              <w:t>Allocated Cost = Total cost to allocate x Percentage of allocation base used.</w:t>
            </w:r>
          </w:p>
          <w:p w:rsidR="00CF6E31" w:rsidRDefault="00CF6E31" w:rsidP="00CF6E31">
            <w:pPr>
              <w:pStyle w:val="Outline2"/>
              <w:numPr>
                <w:ilvl w:val="0"/>
                <w:numId w:val="16"/>
              </w:numPr>
              <w:tabs>
                <w:tab w:val="clear" w:pos="1440"/>
                <w:tab w:val="clear" w:pos="1800"/>
              </w:tabs>
            </w:pPr>
            <w:r>
              <w:t>Allocating Indirect Expenses – no standard rule for “best” allocation bases exists. Commonly used allocation bases for allocating indirect expenses include:</w:t>
            </w:r>
          </w:p>
          <w:p w:rsidR="00CF6E31" w:rsidRDefault="00CF6E31" w:rsidP="00CF6E31">
            <w:pPr>
              <w:pStyle w:val="Outline3"/>
              <w:numPr>
                <w:ilvl w:val="3"/>
                <w:numId w:val="2"/>
              </w:numPr>
              <w:tabs>
                <w:tab w:val="clear" w:pos="1080"/>
                <w:tab w:val="clear" w:pos="1800"/>
                <w:tab w:val="clear" w:pos="3600"/>
                <w:tab w:val="left" w:pos="1440"/>
              </w:tabs>
              <w:ind w:left="1399" w:hanging="319"/>
            </w:pPr>
            <w:r>
              <w:t xml:space="preserve">Wages and salaries –hours worked in each department. </w:t>
            </w:r>
          </w:p>
          <w:p w:rsidR="00CF6E31" w:rsidRDefault="00CF6E31" w:rsidP="00CF6E31">
            <w:pPr>
              <w:pStyle w:val="Outline3"/>
              <w:numPr>
                <w:ilvl w:val="0"/>
                <w:numId w:val="29"/>
              </w:numPr>
              <w:tabs>
                <w:tab w:val="clear" w:pos="1080"/>
                <w:tab w:val="left" w:pos="1440"/>
              </w:tabs>
            </w:pPr>
            <w:r>
              <w:t>Rent and utilities</w:t>
            </w:r>
            <w:r>
              <w:sym w:font="Symbol" w:char="F0BE"/>
            </w:r>
            <w:r>
              <w:t xml:space="preserve">floor space occupied. </w:t>
            </w:r>
          </w:p>
          <w:p w:rsidR="00CF6E31" w:rsidRDefault="00CF6E31" w:rsidP="00CF6E31">
            <w:pPr>
              <w:pStyle w:val="Outline3"/>
              <w:numPr>
                <w:ilvl w:val="0"/>
                <w:numId w:val="29"/>
              </w:numPr>
              <w:tabs>
                <w:tab w:val="clear" w:pos="1080"/>
                <w:tab w:val="clear" w:pos="1800"/>
                <w:tab w:val="num" w:pos="1399"/>
                <w:tab w:val="left" w:pos="1440"/>
              </w:tabs>
              <w:ind w:left="1399" w:hanging="319"/>
            </w:pPr>
            <w:r>
              <w:t>Advertising –percentage of total sales.</w:t>
            </w:r>
          </w:p>
          <w:p w:rsidR="00CF6E31" w:rsidRDefault="00CF6E31" w:rsidP="00CF6E31">
            <w:pPr>
              <w:pStyle w:val="Outline3"/>
              <w:numPr>
                <w:ilvl w:val="0"/>
                <w:numId w:val="29"/>
              </w:numPr>
              <w:tabs>
                <w:tab w:val="clear" w:pos="2160"/>
                <w:tab w:val="clear" w:pos="2520"/>
                <w:tab w:val="clear" w:pos="2880"/>
              </w:tabs>
              <w:ind w:left="1440" w:hanging="360"/>
            </w:pPr>
            <w:r>
              <w:t>Depreciation –hours of depreciable asset used.</w:t>
            </w:r>
          </w:p>
          <w:p w:rsidR="00CF6E31" w:rsidRDefault="00CF6E31" w:rsidP="00CF6E31">
            <w:pPr>
              <w:pStyle w:val="Outline3"/>
              <w:numPr>
                <w:ilvl w:val="0"/>
                <w:numId w:val="16"/>
              </w:numPr>
              <w:tabs>
                <w:tab w:val="clear" w:pos="1800"/>
                <w:tab w:val="clear" w:pos="2160"/>
                <w:tab w:val="clear" w:pos="2520"/>
                <w:tab w:val="clear" w:pos="2880"/>
              </w:tabs>
            </w:pPr>
            <w:r>
              <w:t>Service Department expenses –operating departments use services such as personnel, payroll and purchasing. Commonly used allocation bases for service expenses:</w:t>
            </w:r>
          </w:p>
          <w:p w:rsidR="00CF6E31" w:rsidRDefault="00CF6E31" w:rsidP="00CF6E31">
            <w:pPr>
              <w:pStyle w:val="Outline3"/>
              <w:numPr>
                <w:ilvl w:val="1"/>
                <w:numId w:val="16"/>
              </w:numPr>
              <w:tabs>
                <w:tab w:val="clear" w:pos="1080"/>
                <w:tab w:val="clear" w:pos="1800"/>
                <w:tab w:val="clear" w:pos="2160"/>
                <w:tab w:val="clear" w:pos="2520"/>
                <w:tab w:val="clear" w:pos="2880"/>
              </w:tabs>
            </w:pPr>
            <w:r>
              <w:t>Office -- number of employees or sales in each department.</w:t>
            </w:r>
          </w:p>
          <w:p w:rsidR="00CF6E31" w:rsidRDefault="00CF6E31" w:rsidP="00CF6E31">
            <w:pPr>
              <w:pStyle w:val="Outline3"/>
              <w:numPr>
                <w:ilvl w:val="1"/>
                <w:numId w:val="16"/>
              </w:numPr>
              <w:tabs>
                <w:tab w:val="clear" w:pos="1080"/>
                <w:tab w:val="clear" w:pos="1800"/>
                <w:tab w:val="clear" w:pos="2160"/>
                <w:tab w:val="clear" w:pos="2520"/>
                <w:tab w:val="clear" w:pos="2880"/>
              </w:tabs>
            </w:pPr>
            <w:r>
              <w:t>Personnel and payroll -- number of employees in each department.</w:t>
            </w:r>
          </w:p>
          <w:p w:rsidR="00CF6E31" w:rsidRDefault="00CF6E31" w:rsidP="00CF6E31">
            <w:pPr>
              <w:pStyle w:val="Outline3"/>
              <w:numPr>
                <w:ilvl w:val="1"/>
                <w:numId w:val="16"/>
              </w:numPr>
              <w:tabs>
                <w:tab w:val="clear" w:pos="1080"/>
                <w:tab w:val="clear" w:pos="1800"/>
                <w:tab w:val="clear" w:pos="2160"/>
                <w:tab w:val="clear" w:pos="2520"/>
                <w:tab w:val="clear" w:pos="2880"/>
              </w:tabs>
            </w:pPr>
            <w:r>
              <w:t>Purchasing– dollars of purchases or number of purchase orders processed.</w:t>
            </w:r>
          </w:p>
          <w:p w:rsidR="00CF6E31" w:rsidRDefault="00CF6E31" w:rsidP="00CF6E31">
            <w:pPr>
              <w:pStyle w:val="Outline3"/>
              <w:numPr>
                <w:ilvl w:val="1"/>
                <w:numId w:val="16"/>
              </w:numPr>
              <w:tabs>
                <w:tab w:val="clear" w:pos="1080"/>
                <w:tab w:val="clear" w:pos="1800"/>
                <w:tab w:val="clear" w:pos="2160"/>
                <w:tab w:val="clear" w:pos="2520"/>
                <w:tab w:val="clear" w:pos="2880"/>
              </w:tabs>
            </w:pPr>
            <w:r>
              <w:t>Maintenance– square feet of space occupied.</w:t>
            </w:r>
          </w:p>
          <w:p w:rsidR="00CF6E31" w:rsidRPr="002A24F0" w:rsidRDefault="00CF6E31" w:rsidP="00CF6E31">
            <w:pPr>
              <w:pStyle w:val="Outline2"/>
              <w:numPr>
                <w:ilvl w:val="0"/>
                <w:numId w:val="16"/>
              </w:numPr>
              <w:tabs>
                <w:tab w:val="clear" w:pos="1440"/>
                <w:tab w:val="clear" w:pos="1800"/>
              </w:tabs>
            </w:pPr>
            <w:r w:rsidRPr="002A24F0">
              <w:t xml:space="preserve">Departmental Income Statements </w:t>
            </w:r>
          </w:p>
          <w:p w:rsidR="00CF6E31" w:rsidRDefault="00CF6E31" w:rsidP="00CF6E31">
            <w:pPr>
              <w:pStyle w:val="Outline4"/>
              <w:numPr>
                <w:ilvl w:val="0"/>
                <w:numId w:val="3"/>
              </w:numPr>
              <w:spacing w:before="40"/>
            </w:pPr>
            <w:r>
              <w:t>Departmental income is computed using the following formula: Departmental income = Dept. sales – Dept. direct expenses – Allocated indirect expenses – Allocated service dept. expenses.</w:t>
            </w:r>
          </w:p>
          <w:p w:rsidR="00CF6E31" w:rsidRDefault="00CF6E31" w:rsidP="00CF6E31">
            <w:pPr>
              <w:pStyle w:val="Outline4"/>
              <w:numPr>
                <w:ilvl w:val="0"/>
                <w:numId w:val="3"/>
              </w:numPr>
              <w:tabs>
                <w:tab w:val="clear" w:pos="1440"/>
              </w:tabs>
              <w:spacing w:before="40"/>
            </w:pPr>
            <w:r>
              <w:t>Three steps for allocating costs and preparing departmental income statements:</w:t>
            </w:r>
          </w:p>
          <w:p w:rsidR="00CF6E31" w:rsidRDefault="00CF6E31" w:rsidP="00CF6E31">
            <w:pPr>
              <w:pStyle w:val="Outline4"/>
              <w:numPr>
                <w:ilvl w:val="4"/>
                <w:numId w:val="2"/>
              </w:numPr>
              <w:tabs>
                <w:tab w:val="clear" w:pos="4320"/>
              </w:tabs>
              <w:ind w:left="1845"/>
            </w:pPr>
            <w:r>
              <w:t>Step 1: accumulate sales, direct and indirect expenses by department. List sales and amounts for each department followed by the same for direct expenses and indirect expenses. Total for each expense is in the Expense Balance column. Exhibit 22.9 shows these data.</w:t>
            </w:r>
          </w:p>
        </w:tc>
      </w:tr>
      <w:tr w:rsidR="00CF6E31" w:rsidTr="00E80B42">
        <w:trPr>
          <w:trHeight w:val="2610"/>
        </w:trPr>
        <w:tc>
          <w:tcPr>
            <w:tcW w:w="10255" w:type="dxa"/>
            <w:gridSpan w:val="2"/>
          </w:tcPr>
          <w:p w:rsidR="00CF6E31" w:rsidRDefault="00CF6E31" w:rsidP="00CF6E31">
            <w:pPr>
              <w:pStyle w:val="Outline5"/>
              <w:numPr>
                <w:ilvl w:val="1"/>
                <w:numId w:val="20"/>
              </w:numPr>
            </w:pPr>
            <w:r>
              <w:lastRenderedPageBreak/>
              <w:t>Direct and indirect expenses include salaries, depreciation and supplies expenses.</w:t>
            </w:r>
          </w:p>
          <w:p w:rsidR="00CF6E31" w:rsidRDefault="00CF6E31" w:rsidP="00CF6E31">
            <w:pPr>
              <w:pStyle w:val="Outline4"/>
              <w:numPr>
                <w:ilvl w:val="0"/>
                <w:numId w:val="32"/>
              </w:numPr>
              <w:tabs>
                <w:tab w:val="clear" w:pos="1440"/>
              </w:tabs>
              <w:spacing w:before="40"/>
            </w:pPr>
            <w:r>
              <w:t>Step 2 – allocate indirect expenses to both service and operating departments.</w:t>
            </w:r>
          </w:p>
          <w:p w:rsidR="00CF6E31" w:rsidRDefault="00CF6E31" w:rsidP="00CF6E31">
            <w:pPr>
              <w:pStyle w:val="Outline5"/>
              <w:numPr>
                <w:ilvl w:val="1"/>
                <w:numId w:val="21"/>
              </w:numPr>
              <w:ind w:left="2088" w:hanging="288"/>
            </w:pPr>
            <w:r>
              <w:t xml:space="preserve"> Uses a departmental expense allocation spreadsheet shown in Exhibit 22.10.</w:t>
            </w:r>
          </w:p>
          <w:p w:rsidR="00CF6E31" w:rsidRDefault="00CF6E31" w:rsidP="00CF6E31">
            <w:pPr>
              <w:pStyle w:val="Outline5"/>
              <w:numPr>
                <w:ilvl w:val="1"/>
                <w:numId w:val="21"/>
              </w:numPr>
              <w:ind w:left="2088" w:hanging="288"/>
            </w:pPr>
            <w:r>
              <w:t xml:space="preserve"> Calculations are shown for the allocation of Rent and Advertising.</w:t>
            </w:r>
          </w:p>
          <w:p w:rsidR="00CF6E31" w:rsidRDefault="00CF6E31" w:rsidP="00CF6E31">
            <w:pPr>
              <w:pStyle w:val="Outline5"/>
              <w:numPr>
                <w:ilvl w:val="0"/>
                <w:numId w:val="32"/>
              </w:numPr>
              <w:tabs>
                <w:tab w:val="clear" w:pos="1440"/>
                <w:tab w:val="clear" w:pos="2160"/>
              </w:tabs>
            </w:pPr>
            <w:r>
              <w:t>Step 3—allocate service department expenses to operating departments. After service department costs are allocated, no expenses remain in service departments.</w:t>
            </w:r>
          </w:p>
          <w:p w:rsidR="00CF6E31" w:rsidRDefault="00CF6E31" w:rsidP="00CF6E31">
            <w:pPr>
              <w:pStyle w:val="Outline5"/>
              <w:numPr>
                <w:ilvl w:val="0"/>
                <w:numId w:val="22"/>
              </w:numPr>
              <w:tabs>
                <w:tab w:val="clear" w:pos="1800"/>
                <w:tab w:val="clear" w:pos="2160"/>
              </w:tabs>
            </w:pPr>
            <w:r>
              <w:t>Prepare departmental income statements using the departmental expense allocation spreadsheet.</w:t>
            </w:r>
          </w:p>
          <w:p w:rsidR="00CF6E31" w:rsidRDefault="00CF6E31" w:rsidP="00CF6E31">
            <w:pPr>
              <w:pStyle w:val="Outline5"/>
              <w:numPr>
                <w:ilvl w:val="1"/>
                <w:numId w:val="22"/>
              </w:numPr>
              <w:tabs>
                <w:tab w:val="clear" w:pos="2520"/>
              </w:tabs>
              <w:ind w:left="2088" w:hanging="288"/>
            </w:pPr>
            <w:r>
              <w:t>Actual service department expenses are compared with budgeted amounts to help assess cost center performance.</w:t>
            </w:r>
          </w:p>
          <w:p w:rsidR="00CF6E31" w:rsidRPr="00A2458E" w:rsidRDefault="00CF6E31" w:rsidP="00CF6E31">
            <w:pPr>
              <w:pStyle w:val="Outline5"/>
              <w:numPr>
                <w:ilvl w:val="1"/>
                <w:numId w:val="22"/>
              </w:numPr>
              <w:tabs>
                <w:tab w:val="clear" w:pos="2520"/>
              </w:tabs>
              <w:ind w:left="2088" w:hanging="288"/>
            </w:pPr>
            <w:r>
              <w:t>Amounts in the operating department columns are used to prepare departmental income statements. (Exhibit 22.11).</w:t>
            </w:r>
          </w:p>
        </w:tc>
      </w:tr>
      <w:tr w:rsidR="00CF6E31" w:rsidTr="00E80B42">
        <w:trPr>
          <w:trHeight w:val="2610"/>
        </w:trPr>
        <w:tc>
          <w:tcPr>
            <w:tcW w:w="10255" w:type="dxa"/>
            <w:gridSpan w:val="2"/>
          </w:tcPr>
          <w:p w:rsidR="00CF6E31" w:rsidRPr="00C90812" w:rsidRDefault="00CF6E31" w:rsidP="00CF6E31">
            <w:pPr>
              <w:pStyle w:val="Outline2"/>
              <w:numPr>
                <w:ilvl w:val="0"/>
                <w:numId w:val="16"/>
              </w:numPr>
              <w:tabs>
                <w:tab w:val="clear" w:pos="1800"/>
                <w:tab w:val="clear" w:pos="2520"/>
              </w:tabs>
              <w:spacing w:before="40"/>
            </w:pPr>
            <w:r w:rsidRPr="00C90812">
              <w:t xml:space="preserve">Departmental Contribution to Overhead (see Exhibit </w:t>
            </w:r>
            <w:r>
              <w:t>22.12)</w:t>
            </w:r>
          </w:p>
          <w:p w:rsidR="00CF6E31" w:rsidRPr="00C90812" w:rsidRDefault="00CF6E31" w:rsidP="00CF6E31">
            <w:pPr>
              <w:pStyle w:val="Outline3"/>
              <w:numPr>
                <w:ilvl w:val="0"/>
                <w:numId w:val="5"/>
              </w:numPr>
              <w:tabs>
                <w:tab w:val="clear" w:pos="1080"/>
                <w:tab w:val="clear" w:pos="1800"/>
                <w:tab w:val="clear" w:pos="2160"/>
                <w:tab w:val="num" w:pos="1440"/>
              </w:tabs>
              <w:spacing w:before="40"/>
              <w:ind w:left="1440"/>
            </w:pPr>
            <w:r w:rsidRPr="00C90812">
              <w:t>Departmental income statements not always best for evaluating each profit center’s performance especially when indirect expenses are a large portion of total expenses.</w:t>
            </w:r>
          </w:p>
          <w:p w:rsidR="00CF6E31" w:rsidRDefault="00CF6E31" w:rsidP="00CF6E31">
            <w:pPr>
              <w:pStyle w:val="Outline3"/>
              <w:numPr>
                <w:ilvl w:val="0"/>
                <w:numId w:val="5"/>
              </w:numPr>
              <w:tabs>
                <w:tab w:val="clear" w:pos="1080"/>
                <w:tab w:val="clear" w:pos="1800"/>
                <w:tab w:val="clear" w:pos="2160"/>
                <w:tab w:val="num" w:pos="1440"/>
              </w:tabs>
              <w:spacing w:before="40"/>
              <w:ind w:left="1440"/>
            </w:pPr>
            <w:r w:rsidRPr="00C90812">
              <w:t>Evaluate using departmental contributions to overhead</w:t>
            </w:r>
            <w:r w:rsidRPr="00C90812">
              <w:sym w:font="Symbol" w:char="F0BE"/>
            </w:r>
            <w:r w:rsidRPr="00C90812">
              <w:t xml:space="preserve">a report of the amount of sales </w:t>
            </w:r>
            <w:r>
              <w:t>minus</w:t>
            </w:r>
            <w:r w:rsidRPr="00C90812">
              <w:t xml:space="preserve"> </w:t>
            </w:r>
            <w:r>
              <w:t xml:space="preserve">cost of goods sold and </w:t>
            </w:r>
            <w:r w:rsidRPr="00C90812">
              <w:t>direct expenses.</w:t>
            </w:r>
          </w:p>
          <w:p w:rsidR="00CF6E31" w:rsidRDefault="00CF6E31" w:rsidP="00CF6E31">
            <w:pPr>
              <w:pStyle w:val="Outline3"/>
              <w:numPr>
                <w:ilvl w:val="0"/>
                <w:numId w:val="14"/>
              </w:numPr>
              <w:tabs>
                <w:tab w:val="clear" w:pos="720"/>
                <w:tab w:val="clear" w:pos="1080"/>
                <w:tab w:val="clear" w:pos="1800"/>
                <w:tab w:val="clear" w:pos="2160"/>
                <w:tab w:val="clear" w:pos="2880"/>
                <w:tab w:val="left" w:pos="499"/>
              </w:tabs>
              <w:spacing w:before="40"/>
              <w:rPr>
                <w:b/>
              </w:rPr>
            </w:pPr>
            <w:r>
              <w:rPr>
                <w:b/>
              </w:rPr>
              <w:t xml:space="preserve">Investment Centers </w:t>
            </w:r>
          </w:p>
          <w:p w:rsidR="00CF6E31" w:rsidRPr="002A24F0" w:rsidRDefault="00CF6E31" w:rsidP="00CF6E31">
            <w:pPr>
              <w:pStyle w:val="Outline3"/>
              <w:numPr>
                <w:ilvl w:val="1"/>
                <w:numId w:val="14"/>
              </w:numPr>
              <w:tabs>
                <w:tab w:val="clear" w:pos="720"/>
                <w:tab w:val="clear" w:pos="1080"/>
                <w:tab w:val="clear" w:pos="1800"/>
                <w:tab w:val="clear" w:pos="2160"/>
                <w:tab w:val="clear" w:pos="2880"/>
                <w:tab w:val="left" w:pos="499"/>
              </w:tabs>
              <w:spacing w:before="40"/>
              <w:rPr>
                <w:b/>
              </w:rPr>
            </w:pPr>
            <w:r>
              <w:t>Financial Performance Evaluation Measures include:</w:t>
            </w:r>
          </w:p>
          <w:p w:rsidR="00CF6E31" w:rsidRPr="002A24F0" w:rsidRDefault="00CF6E31" w:rsidP="00CF6E31">
            <w:pPr>
              <w:pStyle w:val="Outline3"/>
              <w:numPr>
                <w:ilvl w:val="1"/>
                <w:numId w:val="16"/>
              </w:numPr>
              <w:tabs>
                <w:tab w:val="clear" w:pos="720"/>
                <w:tab w:val="clear" w:pos="1080"/>
                <w:tab w:val="clear" w:pos="1800"/>
                <w:tab w:val="clear" w:pos="2160"/>
                <w:tab w:val="clear" w:pos="2880"/>
                <w:tab w:val="left" w:pos="499"/>
              </w:tabs>
              <w:spacing w:before="40"/>
              <w:rPr>
                <w:b/>
              </w:rPr>
            </w:pPr>
            <w:r>
              <w:t>Return-on-investment (return on assets), computed as income divided by average assets.</w:t>
            </w:r>
          </w:p>
          <w:p w:rsidR="00CF6E31" w:rsidRPr="002A24F0" w:rsidRDefault="00CF6E31" w:rsidP="00CF6E31">
            <w:pPr>
              <w:pStyle w:val="Outline3"/>
              <w:numPr>
                <w:ilvl w:val="1"/>
                <w:numId w:val="16"/>
              </w:numPr>
              <w:tabs>
                <w:tab w:val="clear" w:pos="720"/>
                <w:tab w:val="clear" w:pos="1080"/>
                <w:tab w:val="clear" w:pos="1800"/>
                <w:tab w:val="clear" w:pos="2160"/>
                <w:tab w:val="clear" w:pos="2880"/>
                <w:tab w:val="left" w:pos="499"/>
              </w:tabs>
              <w:spacing w:before="40"/>
              <w:rPr>
                <w:b/>
              </w:rPr>
            </w:pPr>
            <w:r>
              <w:t>Residual income – Expressed in dollars. Encourages division managers to accept opportunities that return more than target income. Computed as income minus target income.</w:t>
            </w:r>
          </w:p>
          <w:p w:rsidR="00CF6E31" w:rsidRPr="002A24F0" w:rsidRDefault="00CF6E31" w:rsidP="00CF6E31">
            <w:pPr>
              <w:pStyle w:val="Outline3"/>
              <w:numPr>
                <w:ilvl w:val="1"/>
                <w:numId w:val="16"/>
              </w:numPr>
              <w:tabs>
                <w:tab w:val="clear" w:pos="720"/>
                <w:tab w:val="clear" w:pos="1080"/>
                <w:tab w:val="clear" w:pos="1800"/>
                <w:tab w:val="clear" w:pos="2160"/>
                <w:tab w:val="clear" w:pos="2880"/>
                <w:tab w:val="left" w:pos="499"/>
              </w:tabs>
              <w:spacing w:before="40"/>
              <w:rPr>
                <w:b/>
              </w:rPr>
            </w:pPr>
            <w:r>
              <w:t xml:space="preserve">Profit margin and investment turnover – split return on investment into two measures – profit margin and investment turnover. </w:t>
            </w:r>
          </w:p>
          <w:p w:rsidR="00CF6E31" w:rsidRPr="003835D1" w:rsidRDefault="00CF6E31" w:rsidP="00CF6E31">
            <w:pPr>
              <w:pStyle w:val="Outline3"/>
              <w:numPr>
                <w:ilvl w:val="4"/>
                <w:numId w:val="22"/>
              </w:numPr>
              <w:tabs>
                <w:tab w:val="clear" w:pos="720"/>
                <w:tab w:val="clear" w:pos="1080"/>
                <w:tab w:val="clear" w:pos="1800"/>
                <w:tab w:val="clear" w:pos="2160"/>
                <w:tab w:val="clear" w:pos="2880"/>
                <w:tab w:val="clear" w:pos="4320"/>
                <w:tab w:val="left" w:pos="499"/>
                <w:tab w:val="num" w:pos="3919"/>
              </w:tabs>
              <w:spacing w:before="40"/>
              <w:ind w:left="1759"/>
              <w:rPr>
                <w:b/>
              </w:rPr>
            </w:pPr>
            <w:r>
              <w:t>Profit margin measures income per dollar of sales computed as income divided by sales. Shown as a percent.</w:t>
            </w:r>
          </w:p>
          <w:p w:rsidR="00CF6E31" w:rsidRPr="00C14CA3" w:rsidRDefault="00CF6E31" w:rsidP="00CF6E31">
            <w:pPr>
              <w:pStyle w:val="Outline3"/>
              <w:numPr>
                <w:ilvl w:val="4"/>
                <w:numId w:val="22"/>
              </w:numPr>
              <w:tabs>
                <w:tab w:val="clear" w:pos="720"/>
                <w:tab w:val="clear" w:pos="1080"/>
                <w:tab w:val="clear" w:pos="1800"/>
                <w:tab w:val="clear" w:pos="2160"/>
                <w:tab w:val="clear" w:pos="2880"/>
                <w:tab w:val="clear" w:pos="4320"/>
                <w:tab w:val="left" w:pos="499"/>
                <w:tab w:val="num" w:pos="3919"/>
              </w:tabs>
              <w:spacing w:before="40"/>
              <w:ind w:left="1759"/>
              <w:rPr>
                <w:b/>
              </w:rPr>
            </w:pPr>
            <w:r>
              <w:t>Investment turnover measures how efficiently an investment center generates sales from its assets. Calculated as sales divided by average assets. Expressed as the number of times assets were converted into sales.</w:t>
            </w:r>
          </w:p>
          <w:p w:rsidR="00CF6E31" w:rsidRDefault="00CF6E31" w:rsidP="00CF6E31">
            <w:pPr>
              <w:pStyle w:val="BodyText"/>
              <w:numPr>
                <w:ilvl w:val="0"/>
                <w:numId w:val="30"/>
              </w:numPr>
              <w:tabs>
                <w:tab w:val="num" w:pos="2160"/>
              </w:tabs>
              <w:spacing w:before="40" w:after="0"/>
            </w:pPr>
            <w:r>
              <w:t>Evaluating performance solely on financial measures has limitations.  Companies can also use nonfinancial measures.</w:t>
            </w:r>
          </w:p>
          <w:p w:rsidR="00CF6E31" w:rsidRDefault="00CF6E31" w:rsidP="00CF6E31">
            <w:pPr>
              <w:pStyle w:val="BodyText"/>
              <w:numPr>
                <w:ilvl w:val="0"/>
                <w:numId w:val="30"/>
              </w:numPr>
              <w:tabs>
                <w:tab w:val="num" w:pos="2160"/>
              </w:tabs>
              <w:spacing w:before="40" w:after="0"/>
            </w:pPr>
            <w:r w:rsidRPr="00900402">
              <w:rPr>
                <w:b/>
                <w:bCs/>
              </w:rPr>
              <w:t>Balanced scorecard</w:t>
            </w:r>
            <w:r>
              <w:t xml:space="preserve">: </w:t>
            </w:r>
            <w:r w:rsidRPr="004406A0">
              <w:t>system of performance measures, including nonfinancial measures used to assess company and division manager performance.  Requires managers to think of their company from four perspectives</w:t>
            </w:r>
            <w:r>
              <w:t>:</w:t>
            </w:r>
          </w:p>
          <w:p w:rsidR="00CF6E31" w:rsidRDefault="00CF6E31" w:rsidP="00CF6E31">
            <w:pPr>
              <w:pStyle w:val="BodyText"/>
              <w:numPr>
                <w:ilvl w:val="6"/>
                <w:numId w:val="22"/>
              </w:numPr>
              <w:tabs>
                <w:tab w:val="clear" w:pos="5760"/>
                <w:tab w:val="num" w:pos="5985"/>
              </w:tabs>
              <w:spacing w:before="40" w:after="0"/>
              <w:ind w:left="1665" w:hanging="180"/>
              <w:jc w:val="left"/>
            </w:pPr>
            <w:r>
              <w:t xml:space="preserve"> Customer: What do customers think of us?</w:t>
            </w:r>
          </w:p>
          <w:p w:rsidR="00CF6E31" w:rsidRDefault="00CF6E31" w:rsidP="00CF6E31">
            <w:pPr>
              <w:pStyle w:val="BodyText"/>
              <w:numPr>
                <w:ilvl w:val="6"/>
                <w:numId w:val="22"/>
              </w:numPr>
              <w:tabs>
                <w:tab w:val="clear" w:pos="5760"/>
                <w:tab w:val="num" w:pos="5985"/>
              </w:tabs>
              <w:spacing w:before="40" w:after="0"/>
              <w:ind w:left="1665" w:hanging="180"/>
              <w:jc w:val="left"/>
            </w:pPr>
            <w:r>
              <w:t xml:space="preserve"> Internal Processes: Which operations are crucial to customers?</w:t>
            </w:r>
          </w:p>
          <w:p w:rsidR="00CF6E31" w:rsidRDefault="00CF6E31" w:rsidP="00CF6E31">
            <w:pPr>
              <w:pStyle w:val="BodyText"/>
              <w:numPr>
                <w:ilvl w:val="6"/>
                <w:numId w:val="22"/>
              </w:numPr>
              <w:tabs>
                <w:tab w:val="clear" w:pos="5760"/>
                <w:tab w:val="num" w:pos="5985"/>
              </w:tabs>
              <w:spacing w:before="40" w:after="0"/>
              <w:ind w:left="1665" w:hanging="180"/>
              <w:jc w:val="left"/>
            </w:pPr>
            <w:r>
              <w:t>Innovation/Learning: How can we improve?</w:t>
            </w:r>
          </w:p>
          <w:p w:rsidR="00CF6E31" w:rsidRDefault="00CF6E31" w:rsidP="00CF6E31">
            <w:pPr>
              <w:pStyle w:val="BodyText"/>
              <w:numPr>
                <w:ilvl w:val="6"/>
                <w:numId w:val="22"/>
              </w:numPr>
              <w:tabs>
                <w:tab w:val="clear" w:pos="5760"/>
                <w:tab w:val="num" w:pos="5985"/>
              </w:tabs>
              <w:spacing w:before="40" w:after="0"/>
              <w:ind w:left="1665" w:hanging="180"/>
              <w:jc w:val="left"/>
            </w:pPr>
            <w:r>
              <w:t>Financial: What do our owners think of us?</w:t>
            </w:r>
          </w:p>
          <w:p w:rsidR="00CF6E31" w:rsidRPr="000C21F1" w:rsidRDefault="00CF6E31" w:rsidP="00CF6E31">
            <w:pPr>
              <w:pStyle w:val="Outline1"/>
              <w:numPr>
                <w:ilvl w:val="0"/>
                <w:numId w:val="14"/>
              </w:numPr>
              <w:ind w:left="0" w:firstLine="0"/>
              <w:rPr>
                <w:b/>
              </w:rPr>
            </w:pPr>
            <w:r w:rsidRPr="000C21F1">
              <w:rPr>
                <w:b/>
              </w:rPr>
              <w:t>Transfer Pricing</w:t>
            </w:r>
          </w:p>
          <w:p w:rsidR="00CF6E31" w:rsidRDefault="00CF6E31" w:rsidP="00E80B42">
            <w:pPr>
              <w:pStyle w:val="Outline2"/>
              <w:tabs>
                <w:tab w:val="clear" w:pos="720"/>
                <w:tab w:val="clear" w:pos="1080"/>
                <w:tab w:val="clear" w:pos="2520"/>
              </w:tabs>
              <w:ind w:left="720" w:firstLine="0"/>
            </w:pPr>
            <w:r w:rsidRPr="004406A0">
              <w:t xml:space="preserve">The price used to record transfers </w:t>
            </w:r>
            <w:r>
              <w:t>across</w:t>
            </w:r>
            <w:r w:rsidRPr="004406A0">
              <w:t xml:space="preserve"> divisions </w:t>
            </w:r>
            <w:r>
              <w:t>within a</w:t>
            </w:r>
            <w:r w:rsidRPr="004406A0">
              <w:t xml:space="preserve"> company is called a transfer price. Can be used in cost, profit and investment centers.</w:t>
            </w:r>
            <w:r>
              <w:t xml:space="preserve"> </w:t>
            </w:r>
          </w:p>
          <w:p w:rsidR="00CF6E31" w:rsidRDefault="00CF6E31" w:rsidP="00CF6E31">
            <w:pPr>
              <w:pStyle w:val="Outline2"/>
              <w:numPr>
                <w:ilvl w:val="0"/>
                <w:numId w:val="28"/>
              </w:numPr>
              <w:tabs>
                <w:tab w:val="clear" w:pos="720"/>
                <w:tab w:val="clear" w:pos="1080"/>
                <w:tab w:val="clear" w:pos="2520"/>
              </w:tabs>
            </w:pPr>
            <w:r>
              <w:t>Low transfer price – transfer price cannot be less than variable manufacturing cost.</w:t>
            </w:r>
          </w:p>
          <w:p w:rsidR="00CF6E31" w:rsidRDefault="00CF6E31" w:rsidP="00CF6E31">
            <w:pPr>
              <w:pStyle w:val="Outline3"/>
              <w:numPr>
                <w:ilvl w:val="0"/>
                <w:numId w:val="28"/>
              </w:numPr>
              <w:tabs>
                <w:tab w:val="clear" w:pos="1080"/>
                <w:tab w:val="clear" w:pos="1800"/>
                <w:tab w:val="clear" w:pos="2160"/>
                <w:tab w:val="left" w:pos="2034"/>
              </w:tabs>
              <w:outlineLvl w:val="9"/>
            </w:pPr>
            <w:r>
              <w:t xml:space="preserve">High transfer price – transfer price cannot be more than the market </w:t>
            </w:r>
            <w:proofErr w:type="gramStart"/>
            <w:r>
              <w:t>price</w:t>
            </w:r>
            <w:proofErr w:type="gramEnd"/>
            <w:r>
              <w:t>.</w:t>
            </w:r>
          </w:p>
          <w:p w:rsidR="00CF6E31" w:rsidRDefault="00CF6E31" w:rsidP="00CF6E31">
            <w:pPr>
              <w:pStyle w:val="Outline3"/>
              <w:numPr>
                <w:ilvl w:val="0"/>
                <w:numId w:val="28"/>
              </w:numPr>
              <w:tabs>
                <w:tab w:val="clear" w:pos="1080"/>
                <w:tab w:val="clear" w:pos="1800"/>
                <w:tab w:val="clear" w:pos="2160"/>
                <w:tab w:val="left" w:pos="2034"/>
              </w:tabs>
              <w:outlineLvl w:val="9"/>
            </w:pPr>
            <w:r>
              <w:t>The transfer price should be between the low and high transfer price.</w:t>
            </w:r>
          </w:p>
          <w:p w:rsidR="00CF6E31" w:rsidRPr="004406A0" w:rsidRDefault="00CF6E31" w:rsidP="00CF6E31">
            <w:pPr>
              <w:pStyle w:val="Outline3"/>
              <w:numPr>
                <w:ilvl w:val="0"/>
                <w:numId w:val="28"/>
              </w:numPr>
              <w:tabs>
                <w:tab w:val="clear" w:pos="1080"/>
                <w:tab w:val="clear" w:pos="1800"/>
                <w:tab w:val="clear" w:pos="2160"/>
                <w:tab w:val="left" w:pos="2034"/>
              </w:tabs>
              <w:outlineLvl w:val="9"/>
            </w:pPr>
            <w:r w:rsidRPr="004406A0">
              <w:t>If there is no excess capacity, the internal supplier will not accept a transfer price less than the market price.  This is called</w:t>
            </w:r>
            <w:r>
              <w:t xml:space="preserve"> the</w:t>
            </w:r>
            <w:r w:rsidRPr="004406A0">
              <w:t xml:space="preserve"> </w:t>
            </w:r>
            <w:r w:rsidRPr="00BA3AEB">
              <w:rPr>
                <w:b/>
                <w:bCs/>
              </w:rPr>
              <w:t>market-based transfer pric</w:t>
            </w:r>
            <w:r>
              <w:rPr>
                <w:b/>
                <w:bCs/>
              </w:rPr>
              <w:t>e</w:t>
            </w:r>
            <w:r w:rsidRPr="004406A0">
              <w:t>.</w:t>
            </w:r>
          </w:p>
          <w:p w:rsidR="00CF6E31" w:rsidRDefault="00CF6E31" w:rsidP="00CF6E31">
            <w:pPr>
              <w:pStyle w:val="Outline3"/>
              <w:numPr>
                <w:ilvl w:val="0"/>
                <w:numId w:val="28"/>
              </w:numPr>
              <w:tabs>
                <w:tab w:val="clear" w:pos="1080"/>
              </w:tabs>
              <w:outlineLvl w:val="9"/>
            </w:pPr>
            <w:r w:rsidRPr="004406A0">
              <w:lastRenderedPageBreak/>
              <w:t xml:space="preserve">If there is excess capacity, the internal supplier should accept a price between the </w:t>
            </w:r>
            <w:r>
              <w:t xml:space="preserve">variable </w:t>
            </w:r>
            <w:r w:rsidRPr="004406A0">
              <w:t>cost and the market price.  This is called</w:t>
            </w:r>
            <w:r>
              <w:t xml:space="preserve"> the</w:t>
            </w:r>
            <w:r w:rsidRPr="004406A0">
              <w:t xml:space="preserve"> </w:t>
            </w:r>
            <w:r w:rsidRPr="00BA3AEB">
              <w:rPr>
                <w:b/>
                <w:bCs/>
              </w:rPr>
              <w:t>cost-based transfer pric</w:t>
            </w:r>
            <w:r>
              <w:rPr>
                <w:b/>
                <w:bCs/>
              </w:rPr>
              <w:t>e</w:t>
            </w:r>
            <w:r>
              <w:t>.</w:t>
            </w:r>
          </w:p>
          <w:p w:rsidR="00CF6E31" w:rsidRPr="00C720EB" w:rsidRDefault="00CF6E31" w:rsidP="00CF6E31">
            <w:pPr>
              <w:pStyle w:val="Outline3"/>
              <w:numPr>
                <w:ilvl w:val="0"/>
                <w:numId w:val="28"/>
              </w:numPr>
              <w:tabs>
                <w:tab w:val="clear" w:pos="1080"/>
              </w:tabs>
              <w:outlineLvl w:val="9"/>
            </w:pPr>
            <w:r>
              <w:t xml:space="preserve">If there is excess capacity, division managers often negotiate a transfer price between the variable cost per unit and market price per unit.  This is called the </w:t>
            </w:r>
            <w:r w:rsidRPr="00BA3AEB">
              <w:rPr>
                <w:b/>
                <w:bCs/>
              </w:rPr>
              <w:t>negotiated transfer price</w:t>
            </w:r>
            <w:r>
              <w:t>.</w:t>
            </w:r>
          </w:p>
          <w:p w:rsidR="00CF6E31" w:rsidRDefault="00CF6E31" w:rsidP="00CF6E31">
            <w:pPr>
              <w:pStyle w:val="Outline1"/>
              <w:numPr>
                <w:ilvl w:val="0"/>
                <w:numId w:val="14"/>
              </w:numPr>
              <w:ind w:left="49" w:firstLine="0"/>
              <w:rPr>
                <w:b/>
              </w:rPr>
            </w:pPr>
            <w:r>
              <w:rPr>
                <w:b/>
              </w:rPr>
              <w:t>Decision Analysis Cash Conversion Cycle</w:t>
            </w:r>
          </w:p>
          <w:p w:rsidR="00CF6E31" w:rsidRDefault="00CF6E31" w:rsidP="00CF6E31">
            <w:pPr>
              <w:pStyle w:val="Outline2"/>
              <w:numPr>
                <w:ilvl w:val="0"/>
                <w:numId w:val="13"/>
              </w:numPr>
              <w:tabs>
                <w:tab w:val="clear" w:pos="720"/>
                <w:tab w:val="clear" w:pos="2520"/>
              </w:tabs>
            </w:pPr>
            <w:r>
              <w:t>Effectively managing working capital is important for survival and profit.</w:t>
            </w:r>
          </w:p>
          <w:p w:rsidR="00CF6E31" w:rsidRDefault="00CF6E31" w:rsidP="00CF6E31">
            <w:pPr>
              <w:pStyle w:val="Outline3"/>
              <w:numPr>
                <w:ilvl w:val="0"/>
                <w:numId w:val="9"/>
              </w:numPr>
              <w:tabs>
                <w:tab w:val="clear" w:pos="1080"/>
                <w:tab w:val="num" w:pos="1440"/>
              </w:tabs>
              <w:ind w:left="1440"/>
              <w:outlineLvl w:val="9"/>
            </w:pPr>
            <w:r>
              <w:t>Accounts receivable, accounts payable, and inventory ratios are used to evaluate performance on working capital dimensions.</w:t>
            </w:r>
          </w:p>
          <w:p w:rsidR="00CF6E31" w:rsidRDefault="00CF6E31" w:rsidP="00CF6E31">
            <w:pPr>
              <w:pStyle w:val="Outline4"/>
              <w:numPr>
                <w:ilvl w:val="1"/>
                <w:numId w:val="25"/>
              </w:numPr>
              <w:tabs>
                <w:tab w:val="clear" w:pos="1440"/>
              </w:tabs>
              <w:spacing w:before="40"/>
            </w:pPr>
            <w:r>
              <w:t>Combining these ratios summarize how a company manages its working capital.</w:t>
            </w:r>
          </w:p>
          <w:p w:rsidR="00CF6E31" w:rsidRDefault="00CF6E31" w:rsidP="00CF6E31">
            <w:pPr>
              <w:pStyle w:val="Outline3"/>
              <w:numPr>
                <w:ilvl w:val="0"/>
                <w:numId w:val="9"/>
              </w:numPr>
              <w:tabs>
                <w:tab w:val="clear" w:pos="1080"/>
                <w:tab w:val="num" w:pos="1440"/>
              </w:tabs>
              <w:ind w:left="1440"/>
              <w:outlineLvl w:val="9"/>
            </w:pPr>
            <w:r>
              <w:t>The cash conversion (or cash-to-cash) cycle measures the average time it takes to convert cash outflows into cash inflows.</w:t>
            </w:r>
            <w:r>
              <w:br/>
            </w:r>
            <w:r>
              <w:br/>
              <w:t xml:space="preserve">Cycle conversion cycle = </w:t>
            </w:r>
            <w:r>
              <w:br/>
            </w:r>
            <w:r w:rsidRPr="0004656C">
              <w:t>Days’ sales in accounts receivable</w:t>
            </w:r>
            <w:r>
              <w:t xml:space="preserve"> plus Days’ sales in inventory minus </w:t>
            </w:r>
            <w:proofErr w:type="spellStart"/>
            <w:r>
              <w:t>Days’sales</w:t>
            </w:r>
            <w:proofErr w:type="spellEnd"/>
            <w:r>
              <w:t xml:space="preserve"> in accounts payable.                 </w:t>
            </w:r>
            <w:r>
              <w:br/>
            </w:r>
          </w:p>
          <w:p w:rsidR="00CF6E31" w:rsidRDefault="00CF6E31" w:rsidP="00CF6E31">
            <w:pPr>
              <w:pStyle w:val="Outline4"/>
              <w:numPr>
                <w:ilvl w:val="1"/>
                <w:numId w:val="26"/>
              </w:numPr>
              <w:tabs>
                <w:tab w:val="clear" w:pos="1440"/>
              </w:tabs>
              <w:spacing w:before="40"/>
            </w:pPr>
            <w:r>
              <w:t xml:space="preserve">If a company’s conversion cycle is too long, companies do not have use of that money </w:t>
            </w:r>
            <w:proofErr w:type="gramStart"/>
            <w:r>
              <w:t>and  risks</w:t>
            </w:r>
            <w:proofErr w:type="gramEnd"/>
            <w:r>
              <w:t xml:space="preserve"> missing investment opportunities.</w:t>
            </w:r>
          </w:p>
          <w:p w:rsidR="00CF6E31" w:rsidRDefault="00CF6E31" w:rsidP="00CF6E31">
            <w:pPr>
              <w:pStyle w:val="Outline4"/>
              <w:numPr>
                <w:ilvl w:val="1"/>
                <w:numId w:val="26"/>
              </w:numPr>
              <w:tabs>
                <w:tab w:val="clear" w:pos="1440"/>
              </w:tabs>
              <w:spacing w:before="40"/>
            </w:pPr>
            <w:r>
              <w:t>Companies can speed up the cash conversion cycle by:</w:t>
            </w:r>
          </w:p>
          <w:p w:rsidR="00CF6E31" w:rsidRDefault="00CF6E31" w:rsidP="00CF6E31">
            <w:pPr>
              <w:pStyle w:val="Outline4"/>
              <w:numPr>
                <w:ilvl w:val="2"/>
                <w:numId w:val="26"/>
              </w:numPr>
              <w:tabs>
                <w:tab w:val="clear" w:pos="1440"/>
                <w:tab w:val="clear" w:pos="1800"/>
              </w:tabs>
              <w:spacing w:before="40"/>
              <w:ind w:hanging="1366"/>
            </w:pPr>
            <w:r>
              <w:t>Offering customers fewer days to pay</w:t>
            </w:r>
          </w:p>
          <w:p w:rsidR="00CF6E31" w:rsidRDefault="00CF6E31" w:rsidP="00CF6E31">
            <w:pPr>
              <w:pStyle w:val="Outline4"/>
              <w:numPr>
                <w:ilvl w:val="2"/>
                <w:numId w:val="26"/>
              </w:numPr>
              <w:tabs>
                <w:tab w:val="clear" w:pos="1440"/>
                <w:tab w:val="clear" w:pos="1800"/>
              </w:tabs>
              <w:spacing w:before="40"/>
              <w:ind w:hanging="1366"/>
            </w:pPr>
            <w:r>
              <w:t>Offering customers discounts for prompt payment</w:t>
            </w:r>
          </w:p>
          <w:p w:rsidR="00CF6E31" w:rsidRDefault="00CF6E31" w:rsidP="00CF6E31">
            <w:pPr>
              <w:pStyle w:val="Outline4"/>
              <w:numPr>
                <w:ilvl w:val="2"/>
                <w:numId w:val="26"/>
              </w:numPr>
              <w:tabs>
                <w:tab w:val="clear" w:pos="1440"/>
                <w:tab w:val="clear" w:pos="1800"/>
              </w:tabs>
              <w:spacing w:before="40"/>
              <w:ind w:hanging="1366"/>
            </w:pPr>
            <w:r>
              <w:t xml:space="preserve">Adopting lean principles to reduce inventory </w:t>
            </w:r>
          </w:p>
          <w:p w:rsidR="00CF6E31" w:rsidRPr="0005286B" w:rsidRDefault="00CF6E31" w:rsidP="00CF6E31">
            <w:pPr>
              <w:pStyle w:val="Outline4"/>
              <w:numPr>
                <w:ilvl w:val="2"/>
                <w:numId w:val="26"/>
              </w:numPr>
              <w:tabs>
                <w:tab w:val="clear" w:pos="1440"/>
                <w:tab w:val="clear" w:pos="1800"/>
              </w:tabs>
              <w:spacing w:before="40"/>
              <w:ind w:hanging="1366"/>
              <w:rPr>
                <w:b/>
              </w:rPr>
            </w:pPr>
            <w:r>
              <w:t>Negotiating longer times to pay suppliers</w:t>
            </w:r>
          </w:p>
          <w:p w:rsidR="00CF6E31" w:rsidRPr="000C21F1" w:rsidRDefault="00CF6E31" w:rsidP="00CF6E31">
            <w:pPr>
              <w:pStyle w:val="Outline1"/>
              <w:numPr>
                <w:ilvl w:val="0"/>
                <w:numId w:val="31"/>
              </w:numPr>
              <w:tabs>
                <w:tab w:val="clear" w:pos="1080"/>
                <w:tab w:val="clear" w:pos="1260"/>
                <w:tab w:val="num" w:pos="1485"/>
              </w:tabs>
              <w:ind w:left="765" w:hanging="630"/>
              <w:rPr>
                <w:b/>
              </w:rPr>
            </w:pPr>
            <w:r w:rsidRPr="000C21F1">
              <w:rPr>
                <w:b/>
              </w:rPr>
              <w:t xml:space="preserve">Appendix </w:t>
            </w:r>
            <w:r>
              <w:rPr>
                <w:b/>
              </w:rPr>
              <w:t>22A</w:t>
            </w:r>
            <w:r w:rsidRPr="000C21F1">
              <w:rPr>
                <w:b/>
              </w:rPr>
              <w:t xml:space="preserve"> – Joint Costs</w:t>
            </w:r>
          </w:p>
          <w:p w:rsidR="00CF6E31" w:rsidRPr="004406A0" w:rsidRDefault="00CF6E31" w:rsidP="00CF6E31">
            <w:pPr>
              <w:pStyle w:val="Outline2"/>
              <w:numPr>
                <w:ilvl w:val="0"/>
                <w:numId w:val="8"/>
              </w:numPr>
              <w:tabs>
                <w:tab w:val="clear" w:pos="720"/>
                <w:tab w:val="clear" w:pos="2520"/>
              </w:tabs>
            </w:pPr>
            <w:r w:rsidRPr="004406A0">
              <w:t>Joint Costs</w:t>
            </w:r>
            <w:r w:rsidRPr="004406A0">
              <w:sym w:font="Symbol" w:char="F0BE"/>
            </w:r>
            <w:r>
              <w:t xml:space="preserve">the </w:t>
            </w:r>
            <w:r w:rsidRPr="004406A0">
              <w:t>costs incurred to produce or purchase two or more products at the same time.</w:t>
            </w:r>
          </w:p>
          <w:p w:rsidR="00CF6E31" w:rsidRPr="004406A0" w:rsidRDefault="00CF6E31" w:rsidP="00CF6E31">
            <w:pPr>
              <w:pStyle w:val="Outline3"/>
              <w:numPr>
                <w:ilvl w:val="0"/>
                <w:numId w:val="12"/>
              </w:numPr>
              <w:tabs>
                <w:tab w:val="clear" w:pos="1080"/>
                <w:tab w:val="num" w:pos="1440"/>
              </w:tabs>
              <w:outlineLvl w:val="9"/>
            </w:pPr>
            <w:r>
              <w:t>When management wishes to estimate the costs of individual products, joint costs must be allocated to joint products.</w:t>
            </w:r>
          </w:p>
          <w:p w:rsidR="00CF6E31" w:rsidRDefault="00CF6E31" w:rsidP="00CF6E31">
            <w:pPr>
              <w:pStyle w:val="Outline3"/>
              <w:numPr>
                <w:ilvl w:val="0"/>
                <w:numId w:val="12"/>
              </w:numPr>
              <w:tabs>
                <w:tab w:val="clear" w:pos="1080"/>
                <w:tab w:val="num" w:pos="1440"/>
              </w:tabs>
              <w:outlineLvl w:val="9"/>
            </w:pPr>
            <w:r>
              <w:t xml:space="preserve">Financial statements prepared according to </w:t>
            </w:r>
            <w:r w:rsidRPr="004406A0">
              <w:t>GAAP</w:t>
            </w:r>
            <w:r>
              <w:t xml:space="preserve"> also must assign joint costs to products.</w:t>
            </w:r>
          </w:p>
          <w:p w:rsidR="00CF6E31" w:rsidRDefault="00CF6E31" w:rsidP="00CF6E31">
            <w:pPr>
              <w:pStyle w:val="Outline3"/>
              <w:numPr>
                <w:ilvl w:val="0"/>
                <w:numId w:val="12"/>
              </w:numPr>
              <w:tabs>
                <w:tab w:val="clear" w:pos="1080"/>
                <w:tab w:val="num" w:pos="1440"/>
              </w:tabs>
              <w:outlineLvl w:val="9"/>
            </w:pPr>
            <w:r>
              <w:t>Popular approach is the value basis which allocates joint cost in proportion to the sales value of the output produced by the process at the split-off point.</w:t>
            </w:r>
          </w:p>
          <w:p w:rsidR="00CF6E31" w:rsidRPr="004406A0" w:rsidRDefault="00CF6E31" w:rsidP="00CF6E31">
            <w:pPr>
              <w:pStyle w:val="Outline3"/>
              <w:numPr>
                <w:ilvl w:val="0"/>
                <w:numId w:val="12"/>
              </w:numPr>
              <w:tabs>
                <w:tab w:val="clear" w:pos="1080"/>
                <w:tab w:val="num" w:pos="1440"/>
              </w:tabs>
              <w:outlineLvl w:val="9"/>
            </w:pPr>
            <w:r>
              <w:t>Split-off point is the point at which separate products can be identified.</w:t>
            </w:r>
          </w:p>
          <w:p w:rsidR="00CF6E31" w:rsidRDefault="00CF6E31" w:rsidP="00CF6E31">
            <w:pPr>
              <w:pStyle w:val="Outline3"/>
              <w:numPr>
                <w:ilvl w:val="0"/>
                <w:numId w:val="12"/>
              </w:numPr>
              <w:tabs>
                <w:tab w:val="clear" w:pos="1080"/>
                <w:tab w:val="num" w:pos="1440"/>
              </w:tabs>
              <w:outlineLvl w:val="9"/>
            </w:pPr>
            <w:r>
              <w:t>Value basis of a</w:t>
            </w:r>
            <w:r w:rsidRPr="004406A0">
              <w:t>llocation</w:t>
            </w:r>
            <w:r>
              <w:t xml:space="preserve"> of joint costs:</w:t>
            </w:r>
          </w:p>
          <w:p w:rsidR="00CF6E31" w:rsidRDefault="00CF6E31" w:rsidP="00CF6E31">
            <w:pPr>
              <w:pStyle w:val="Outline3"/>
              <w:numPr>
                <w:ilvl w:val="1"/>
                <w:numId w:val="14"/>
              </w:numPr>
              <w:tabs>
                <w:tab w:val="clear" w:pos="1080"/>
              </w:tabs>
              <w:ind w:firstLine="405"/>
              <w:outlineLvl w:val="9"/>
            </w:pPr>
            <w:r>
              <w:t>Shown in Exhibit 22A.2.</w:t>
            </w:r>
          </w:p>
          <w:p w:rsidR="00CF6E31" w:rsidRDefault="00CF6E31" w:rsidP="00CF6E31">
            <w:pPr>
              <w:pStyle w:val="Outline3"/>
              <w:numPr>
                <w:ilvl w:val="1"/>
                <w:numId w:val="14"/>
              </w:numPr>
              <w:tabs>
                <w:tab w:val="clear" w:pos="1080"/>
              </w:tabs>
              <w:ind w:left="1755" w:hanging="270"/>
              <w:outlineLvl w:val="9"/>
            </w:pPr>
            <w:r>
              <w:t>Determine the percents of the total costs allocated to each product by the ratio of each product’s sales value at the split-off point to the total sales value.</w:t>
            </w:r>
          </w:p>
          <w:p w:rsidR="00CF6E31" w:rsidRPr="002A24F0" w:rsidRDefault="00CF6E31" w:rsidP="00CF6E31">
            <w:pPr>
              <w:pStyle w:val="Outline3"/>
              <w:numPr>
                <w:ilvl w:val="1"/>
                <w:numId w:val="14"/>
              </w:numPr>
              <w:tabs>
                <w:tab w:val="clear" w:pos="1080"/>
              </w:tabs>
              <w:ind w:left="1755" w:hanging="270"/>
              <w:outlineLvl w:val="9"/>
              <w:rPr>
                <w:b/>
              </w:rPr>
            </w:pPr>
            <w:r>
              <w:t>Allocation basis is a close matching of costs and revenues.</w:t>
            </w:r>
          </w:p>
        </w:tc>
      </w:tr>
      <w:tr w:rsidR="00CF6E31" w:rsidRPr="004406A0" w:rsidTr="00E80B42">
        <w:trPr>
          <w:gridAfter w:val="1"/>
          <w:wAfter w:w="450" w:type="dxa"/>
          <w:trHeight w:val="7272"/>
        </w:trPr>
        <w:tc>
          <w:tcPr>
            <w:tcW w:w="9805" w:type="dxa"/>
            <w:tcBorders>
              <w:top w:val="nil"/>
              <w:left w:val="nil"/>
              <w:bottom w:val="nil"/>
              <w:right w:val="nil"/>
            </w:tcBorders>
          </w:tcPr>
          <w:p w:rsidR="00CF6E31" w:rsidRPr="004406A0" w:rsidRDefault="00CF6E31" w:rsidP="00E80B42">
            <w:pPr>
              <w:pStyle w:val="Outline3"/>
              <w:tabs>
                <w:tab w:val="clear" w:pos="1080"/>
              </w:tabs>
              <w:ind w:left="1755"/>
              <w:outlineLvl w:val="9"/>
            </w:pPr>
          </w:p>
        </w:tc>
      </w:tr>
    </w:tbl>
    <w:p w:rsidR="00434F5D" w:rsidRPr="00CF6E31" w:rsidRDefault="00434F5D">
      <w:pPr>
        <w:rPr>
          <w:rFonts w:asciiTheme="minorHAnsi" w:hAnsiTheme="minorHAnsi" w:cstheme="minorHAnsi"/>
        </w:rPr>
      </w:pPr>
    </w:p>
    <w:sectPr w:rsidR="00434F5D" w:rsidRPr="00CF6E31" w:rsidSect="00434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3A9"/>
    <w:multiLevelType w:val="singleLevel"/>
    <w:tmpl w:val="0409000F"/>
    <w:lvl w:ilvl="0">
      <w:start w:val="1"/>
      <w:numFmt w:val="decimal"/>
      <w:lvlText w:val="%1."/>
      <w:lvlJc w:val="left"/>
      <w:pPr>
        <w:ind w:left="2160" w:hanging="360"/>
      </w:pPr>
      <w:rPr>
        <w:rFonts w:hint="default"/>
      </w:rPr>
    </w:lvl>
  </w:abstractNum>
  <w:abstractNum w:abstractNumId="1">
    <w:nsid w:val="09F70C51"/>
    <w:multiLevelType w:val="hybridMultilevel"/>
    <w:tmpl w:val="4664BD84"/>
    <w:lvl w:ilvl="0" w:tplc="B7245FCA">
      <w:start w:val="1"/>
      <w:numFmt w:val="upperRoman"/>
      <w:lvlText w:val="%1."/>
      <w:lvlJc w:val="left"/>
      <w:pPr>
        <w:ind w:left="720" w:hanging="720"/>
      </w:pPr>
      <w:rPr>
        <w:rFonts w:hint="default"/>
        <w:b/>
      </w:rPr>
    </w:lvl>
    <w:lvl w:ilvl="1" w:tplc="F58C7C1C">
      <w:start w:val="1"/>
      <w:numFmt w:val="upperLetter"/>
      <w:lvlText w:val="%2."/>
      <w:lvlJc w:val="left"/>
      <w:pPr>
        <w:ind w:left="108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3607CC"/>
    <w:multiLevelType w:val="multilevel"/>
    <w:tmpl w:val="6CE274F8"/>
    <w:lvl w:ilvl="0">
      <w:start w:val="3"/>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
    <w:nsid w:val="18E84042"/>
    <w:multiLevelType w:val="hybridMultilevel"/>
    <w:tmpl w:val="D2FE12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711CCD"/>
    <w:multiLevelType w:val="hybridMultilevel"/>
    <w:tmpl w:val="CDCCB670"/>
    <w:lvl w:ilvl="0" w:tplc="9B5A64D8">
      <w:start w:val="1"/>
      <w:numFmt w:val="decimal"/>
      <w:lvlText w:val="%1."/>
      <w:lvlJc w:val="left"/>
      <w:pPr>
        <w:ind w:left="144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24470174"/>
    <w:multiLevelType w:val="multilevel"/>
    <w:tmpl w:val="C66C9316"/>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pStyle w:val="Equation2a"/>
      <w:lvlText w:val="%9."/>
      <w:lvlJc w:val="right"/>
      <w:pPr>
        <w:tabs>
          <w:tab w:val="num" w:pos="7560"/>
        </w:tabs>
        <w:ind w:left="7560" w:hanging="180"/>
      </w:pPr>
      <w:rPr>
        <w:rFonts w:hint="default"/>
      </w:rPr>
    </w:lvl>
  </w:abstractNum>
  <w:abstractNum w:abstractNumId="6">
    <w:nsid w:val="25F607C1"/>
    <w:multiLevelType w:val="hybridMultilevel"/>
    <w:tmpl w:val="4A04D2F4"/>
    <w:lvl w:ilvl="0" w:tplc="D020ED40">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CD3147"/>
    <w:multiLevelType w:val="hybridMultilevel"/>
    <w:tmpl w:val="33745FEE"/>
    <w:lvl w:ilvl="0" w:tplc="D020ED40">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DEB5E23"/>
    <w:multiLevelType w:val="hybridMultilevel"/>
    <w:tmpl w:val="8760E3CC"/>
    <w:lvl w:ilvl="0" w:tplc="A7341830">
      <w:start w:val="1"/>
      <w:numFmt w:val="upperLetter"/>
      <w:lvlText w:val="%1."/>
      <w:lvlJc w:val="left"/>
      <w:pPr>
        <w:tabs>
          <w:tab w:val="num" w:pos="1080"/>
        </w:tabs>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687843"/>
    <w:multiLevelType w:val="singleLevel"/>
    <w:tmpl w:val="712C3444"/>
    <w:lvl w:ilvl="0">
      <w:start w:val="1"/>
      <w:numFmt w:val="decimal"/>
      <w:lvlText w:val="%1."/>
      <w:lvlJc w:val="left"/>
      <w:pPr>
        <w:tabs>
          <w:tab w:val="num" w:pos="1440"/>
        </w:tabs>
        <w:ind w:left="1440" w:hanging="360"/>
      </w:pPr>
      <w:rPr>
        <w:rFonts w:hint="default"/>
      </w:rPr>
    </w:lvl>
  </w:abstractNum>
  <w:abstractNum w:abstractNumId="10">
    <w:nsid w:val="30B9538B"/>
    <w:multiLevelType w:val="hybridMultilevel"/>
    <w:tmpl w:val="9B7ED4EE"/>
    <w:lvl w:ilvl="0" w:tplc="EDB28CA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D3D0B"/>
    <w:multiLevelType w:val="hybridMultilevel"/>
    <w:tmpl w:val="14D0DAF4"/>
    <w:lvl w:ilvl="0" w:tplc="579680B4">
      <w:start w:val="1"/>
      <w:numFmt w:val="decimal"/>
      <w:lvlText w:val="%1."/>
      <w:lvlJc w:val="left"/>
      <w:pPr>
        <w:tabs>
          <w:tab w:val="num" w:pos="1800"/>
        </w:tabs>
        <w:ind w:left="180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660A8B"/>
    <w:multiLevelType w:val="hybridMultilevel"/>
    <w:tmpl w:val="633A168C"/>
    <w:lvl w:ilvl="0" w:tplc="009260A8">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3AD294A"/>
    <w:multiLevelType w:val="multilevel"/>
    <w:tmpl w:val="CC58FBEE"/>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4">
    <w:nsid w:val="435B4CEF"/>
    <w:multiLevelType w:val="multilevel"/>
    <w:tmpl w:val="CDEA18A4"/>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5">
    <w:nsid w:val="464B6B75"/>
    <w:multiLevelType w:val="multilevel"/>
    <w:tmpl w:val="71380BF2"/>
    <w:lvl w:ilvl="0">
      <w:start w:val="3"/>
      <w:numFmt w:val="decimal"/>
      <w:lvlText w:val="%1."/>
      <w:lvlJc w:val="left"/>
      <w:pPr>
        <w:tabs>
          <w:tab w:val="num" w:pos="1440"/>
        </w:tabs>
        <w:ind w:left="1440" w:hanging="360"/>
      </w:pPr>
      <w:rPr>
        <w:rFonts w:hint="default"/>
      </w:rPr>
    </w:lvl>
    <w:lvl w:ilvl="1">
      <w:start w:val="1"/>
      <w:numFmt w:val="lowerRoman"/>
      <w:lvlText w:val="%2."/>
      <w:lvlJc w:val="left"/>
      <w:pPr>
        <w:tabs>
          <w:tab w:val="num" w:pos="2160"/>
        </w:tabs>
        <w:ind w:left="2160" w:hanging="360"/>
      </w:pPr>
      <w:rPr>
        <w:rFonts w:ascii="Times New Roman" w:eastAsia="Times New Roman" w:hAnsi="Times New Roman" w:cs="Times New Roman"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6">
    <w:nsid w:val="486050C0"/>
    <w:multiLevelType w:val="hybridMultilevel"/>
    <w:tmpl w:val="26EC98D2"/>
    <w:lvl w:ilvl="0" w:tplc="04090015">
      <w:start w:val="1"/>
      <w:numFmt w:val="upperLetter"/>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D73BFC"/>
    <w:multiLevelType w:val="hybridMultilevel"/>
    <w:tmpl w:val="F7483E52"/>
    <w:lvl w:ilvl="0" w:tplc="A2C29BD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E37A98"/>
    <w:multiLevelType w:val="multilevel"/>
    <w:tmpl w:val="D3AA9FA8"/>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9">
    <w:nsid w:val="4EF3178B"/>
    <w:multiLevelType w:val="multilevel"/>
    <w:tmpl w:val="9524EE3C"/>
    <w:lvl w:ilvl="0">
      <w:start w:val="4"/>
      <w:numFmt w:val="lowerLetter"/>
      <w:lvlText w:val="%1."/>
      <w:lvlJc w:val="left"/>
      <w:pPr>
        <w:tabs>
          <w:tab w:val="num" w:pos="1800"/>
        </w:tabs>
        <w:ind w:left="180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nsid w:val="55805246"/>
    <w:multiLevelType w:val="multilevel"/>
    <w:tmpl w:val="9244D0E6"/>
    <w:lvl w:ilvl="0">
      <w:start w:val="3"/>
      <w:numFmt w:val="decimal"/>
      <w:lvlText w:val="%1."/>
      <w:lvlJc w:val="left"/>
      <w:pPr>
        <w:tabs>
          <w:tab w:val="num" w:pos="1440"/>
        </w:tabs>
        <w:ind w:left="1440" w:hanging="360"/>
      </w:pPr>
      <w:rPr>
        <w:rFonts w:hint="default"/>
      </w:rPr>
    </w:lvl>
    <w:lvl w:ilvl="1">
      <w:start w:val="1"/>
      <w:numFmt w:val="lowerRoman"/>
      <w:lvlText w:val="%2."/>
      <w:lvlJc w:val="left"/>
      <w:pPr>
        <w:tabs>
          <w:tab w:val="num" w:pos="2160"/>
        </w:tabs>
        <w:ind w:left="2160" w:hanging="360"/>
      </w:pPr>
      <w:rPr>
        <w:rFonts w:ascii="Times New Roman" w:eastAsia="Times New Roman" w:hAnsi="Times New Roman" w:cs="Times New Roman"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1">
    <w:nsid w:val="575C368F"/>
    <w:multiLevelType w:val="hybridMultilevel"/>
    <w:tmpl w:val="B59461FE"/>
    <w:lvl w:ilvl="0" w:tplc="BAC6DD62">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2A70F8"/>
    <w:multiLevelType w:val="hybridMultilevel"/>
    <w:tmpl w:val="3C166F80"/>
    <w:lvl w:ilvl="0" w:tplc="D4D445B6">
      <w:start w:val="2"/>
      <w:numFmt w:val="decimal"/>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E1615F"/>
    <w:multiLevelType w:val="multilevel"/>
    <w:tmpl w:val="7DA4A4FA"/>
    <w:lvl w:ilvl="0">
      <w:start w:val="3"/>
      <w:numFmt w:val="decimal"/>
      <w:lvlText w:val="%1."/>
      <w:lvlJc w:val="left"/>
      <w:pPr>
        <w:tabs>
          <w:tab w:val="num" w:pos="1440"/>
        </w:tabs>
        <w:ind w:left="1440" w:hanging="360"/>
      </w:pPr>
      <w:rPr>
        <w:rFonts w:hint="default"/>
      </w:rPr>
    </w:lvl>
    <w:lvl w:ilvl="1">
      <w:start w:val="1"/>
      <w:numFmt w:val="lowerRoman"/>
      <w:lvlText w:val="%2."/>
      <w:lvlJc w:val="left"/>
      <w:pPr>
        <w:tabs>
          <w:tab w:val="num" w:pos="2160"/>
        </w:tabs>
        <w:ind w:left="2160" w:hanging="360"/>
      </w:pPr>
      <w:rPr>
        <w:rFonts w:ascii="Times New Roman" w:eastAsia="Times New Roman" w:hAnsi="Times New Roman" w:cs="Times New Roman"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4">
    <w:nsid w:val="5E651728"/>
    <w:multiLevelType w:val="hybridMultilevel"/>
    <w:tmpl w:val="1AEAF4D2"/>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5">
    <w:nsid w:val="64C11365"/>
    <w:multiLevelType w:val="multilevel"/>
    <w:tmpl w:val="9524EE3C"/>
    <w:lvl w:ilvl="0">
      <w:start w:val="4"/>
      <w:numFmt w:val="lowerLetter"/>
      <w:lvlText w:val="%1."/>
      <w:lvlJc w:val="left"/>
      <w:pPr>
        <w:tabs>
          <w:tab w:val="num" w:pos="1800"/>
        </w:tabs>
        <w:ind w:left="180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6">
    <w:nsid w:val="64DA4121"/>
    <w:multiLevelType w:val="multilevel"/>
    <w:tmpl w:val="CDEA18A4"/>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7">
    <w:nsid w:val="68973441"/>
    <w:multiLevelType w:val="hybridMultilevel"/>
    <w:tmpl w:val="E410C570"/>
    <w:lvl w:ilvl="0" w:tplc="1ACEBCB4">
      <w:start w:val="1"/>
      <w:numFmt w:val="upperLetter"/>
      <w:lvlText w:val="%1."/>
      <w:lvlJc w:val="left"/>
      <w:pPr>
        <w:tabs>
          <w:tab w:val="num" w:pos="1080"/>
        </w:tabs>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EF11CD"/>
    <w:multiLevelType w:val="hybridMultilevel"/>
    <w:tmpl w:val="31C81B6A"/>
    <w:lvl w:ilvl="0" w:tplc="1910C73A">
      <w:start w:val="7"/>
      <w:numFmt w:val="upperRoman"/>
      <w:lvlText w:val="%1."/>
      <w:lvlJc w:val="left"/>
      <w:pPr>
        <w:tabs>
          <w:tab w:val="num" w:pos="1260"/>
        </w:tabs>
        <w:ind w:left="12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BB6B62"/>
    <w:multiLevelType w:val="singleLevel"/>
    <w:tmpl w:val="77741960"/>
    <w:lvl w:ilvl="0">
      <w:start w:val="3"/>
      <w:numFmt w:val="upperLetter"/>
      <w:lvlText w:val="%1."/>
      <w:lvlJc w:val="left"/>
      <w:pPr>
        <w:tabs>
          <w:tab w:val="num" w:pos="1080"/>
        </w:tabs>
        <w:ind w:left="1080" w:hanging="360"/>
      </w:pPr>
      <w:rPr>
        <w:rFonts w:hint="default"/>
      </w:rPr>
    </w:lvl>
  </w:abstractNum>
  <w:abstractNum w:abstractNumId="30">
    <w:nsid w:val="7FB048BB"/>
    <w:multiLevelType w:val="hybridMultilevel"/>
    <w:tmpl w:val="CEE012AA"/>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9"/>
  </w:num>
  <w:num w:numId="2">
    <w:abstractNumId w:val="2"/>
  </w:num>
  <w:num w:numId="3">
    <w:abstractNumId w:val="9"/>
  </w:num>
  <w:num w:numId="4">
    <w:abstractNumId w:val="7"/>
  </w:num>
  <w:num w:numId="5">
    <w:abstractNumId w:val="24"/>
  </w:num>
  <w:num w:numId="6">
    <w:abstractNumId w:val="5"/>
  </w:num>
  <w:num w:numId="7">
    <w:abstractNumId w:val="6"/>
  </w:num>
  <w:num w:numId="8">
    <w:abstractNumId w:val="30"/>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12"/>
  </w:num>
  <w:num w:numId="14">
    <w:abstractNumId w:val="1"/>
  </w:num>
  <w:num w:numId="15">
    <w:abstractNumId w:val="8"/>
  </w:num>
  <w:num w:numId="16">
    <w:abstractNumId w:val="27"/>
  </w:num>
  <w:num w:numId="17">
    <w:abstractNumId w:val="26"/>
  </w:num>
  <w:num w:numId="18">
    <w:abstractNumId w:val="18"/>
  </w:num>
  <w:num w:numId="19">
    <w:abstractNumId w:val="13"/>
  </w:num>
  <w:num w:numId="20">
    <w:abstractNumId w:val="23"/>
  </w:num>
  <w:num w:numId="21">
    <w:abstractNumId w:val="20"/>
  </w:num>
  <w:num w:numId="22">
    <w:abstractNumId w:val="15"/>
  </w:num>
  <w:num w:numId="23">
    <w:abstractNumId w:val="11"/>
  </w:num>
  <w:num w:numId="24">
    <w:abstractNumId w:val="14"/>
  </w:num>
  <w:num w:numId="25">
    <w:abstractNumId w:val="19"/>
  </w:num>
  <w:num w:numId="26">
    <w:abstractNumId w:val="25"/>
  </w:num>
  <w:num w:numId="27">
    <w:abstractNumId w:val="16"/>
  </w:num>
  <w:num w:numId="28">
    <w:abstractNumId w:val="3"/>
  </w:num>
  <w:num w:numId="29">
    <w:abstractNumId w:val="22"/>
  </w:num>
  <w:num w:numId="30">
    <w:abstractNumId w:val="17"/>
  </w:num>
  <w:num w:numId="31">
    <w:abstractNumId w:val="28"/>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F6E31"/>
    <w:rsid w:val="00031AE1"/>
    <w:rsid w:val="000D1B4F"/>
    <w:rsid w:val="002C250D"/>
    <w:rsid w:val="002D575E"/>
    <w:rsid w:val="003107D5"/>
    <w:rsid w:val="00424682"/>
    <w:rsid w:val="00434F5D"/>
    <w:rsid w:val="008E74B6"/>
    <w:rsid w:val="00992D4F"/>
    <w:rsid w:val="00BA2ECD"/>
    <w:rsid w:val="00CF6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E31"/>
    <w:pPr>
      <w:numPr>
        <w:ilvl w:val="8"/>
        <w:numId w:val="13"/>
      </w:numPr>
      <w:spacing w:after="0" w:line="240" w:lineRule="auto"/>
    </w:pPr>
    <w:rPr>
      <w:rFonts w:eastAsia="Times New Roman" w:cs="Times New Roman"/>
      <w:sz w:val="22"/>
      <w:szCs w:val="20"/>
    </w:rPr>
  </w:style>
  <w:style w:type="paragraph" w:styleId="Heading1">
    <w:name w:val="heading 1"/>
    <w:aliases w:val="Heading 1A,Heading A1"/>
    <w:next w:val="BodyText"/>
    <w:link w:val="Heading1Char"/>
    <w:qFormat/>
    <w:rsid w:val="00CF6E31"/>
    <w:pPr>
      <w:keepNext/>
      <w:spacing w:before="120" w:after="120" w:line="240" w:lineRule="auto"/>
      <w:outlineLvl w:val="0"/>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Heading A1 Char"/>
    <w:basedOn w:val="DefaultParagraphFont"/>
    <w:link w:val="Heading1"/>
    <w:rsid w:val="00CF6E31"/>
    <w:rPr>
      <w:rFonts w:ascii="Arial" w:eastAsia="Times New Roman" w:hAnsi="Arial" w:cs="Times New Roman"/>
      <w:b/>
      <w:kern w:val="28"/>
      <w:szCs w:val="20"/>
      <w:u w:val="single"/>
    </w:rPr>
  </w:style>
  <w:style w:type="paragraph" w:customStyle="1" w:styleId="Outline1">
    <w:name w:val="Outline 1"/>
    <w:rsid w:val="00CF6E31"/>
    <w:pPr>
      <w:tabs>
        <w:tab w:val="left" w:pos="720"/>
        <w:tab w:val="left" w:pos="1080"/>
        <w:tab w:val="left" w:pos="1440"/>
        <w:tab w:val="left" w:pos="1800"/>
        <w:tab w:val="left" w:pos="2160"/>
        <w:tab w:val="left" w:pos="2520"/>
        <w:tab w:val="left" w:pos="2880"/>
        <w:tab w:val="left" w:pos="3240"/>
      </w:tabs>
      <w:spacing w:before="60" w:after="0" w:line="240" w:lineRule="auto"/>
      <w:ind w:left="720" w:hanging="720"/>
      <w:outlineLvl w:val="0"/>
    </w:pPr>
    <w:rPr>
      <w:rFonts w:eastAsia="Times New Roman" w:cs="Times New Roman"/>
      <w:sz w:val="22"/>
      <w:szCs w:val="20"/>
    </w:rPr>
  </w:style>
  <w:style w:type="paragraph" w:customStyle="1" w:styleId="Outline2">
    <w:name w:val="Outline 2"/>
    <w:basedOn w:val="Outline1"/>
    <w:rsid w:val="00CF6E31"/>
    <w:pPr>
      <w:ind w:left="1080" w:hanging="360"/>
      <w:outlineLvl w:val="1"/>
    </w:pPr>
  </w:style>
  <w:style w:type="paragraph" w:customStyle="1" w:styleId="Outline3">
    <w:name w:val="Outline 3"/>
    <w:basedOn w:val="Outline1"/>
    <w:rsid w:val="00CF6E31"/>
    <w:pPr>
      <w:tabs>
        <w:tab w:val="clear" w:pos="1440"/>
      </w:tabs>
      <w:ind w:left="1080" w:firstLine="0"/>
      <w:outlineLvl w:val="2"/>
    </w:pPr>
  </w:style>
  <w:style w:type="paragraph" w:customStyle="1" w:styleId="Outline4">
    <w:name w:val="Outline 4"/>
    <w:basedOn w:val="Outline1"/>
    <w:rsid w:val="00CF6E31"/>
    <w:pPr>
      <w:tabs>
        <w:tab w:val="left" w:pos="3600"/>
      </w:tabs>
      <w:ind w:left="1800" w:hanging="360"/>
      <w:outlineLvl w:val="3"/>
    </w:pPr>
  </w:style>
  <w:style w:type="paragraph" w:styleId="BodyText">
    <w:name w:val="Body Text"/>
    <w:link w:val="BodyTextChar"/>
    <w:rsid w:val="00CF6E31"/>
    <w:pPr>
      <w:spacing w:after="240" w:line="240" w:lineRule="auto"/>
      <w:jc w:val="both"/>
    </w:pPr>
    <w:rPr>
      <w:rFonts w:eastAsia="Times New Roman" w:cs="Times New Roman"/>
      <w:sz w:val="22"/>
      <w:szCs w:val="20"/>
    </w:rPr>
  </w:style>
  <w:style w:type="character" w:customStyle="1" w:styleId="BodyTextChar">
    <w:name w:val="Body Text Char"/>
    <w:basedOn w:val="DefaultParagraphFont"/>
    <w:link w:val="BodyText"/>
    <w:rsid w:val="00CF6E31"/>
    <w:rPr>
      <w:rFonts w:eastAsia="Times New Roman" w:cs="Times New Roman"/>
      <w:sz w:val="22"/>
      <w:szCs w:val="20"/>
    </w:rPr>
  </w:style>
  <w:style w:type="paragraph" w:customStyle="1" w:styleId="Equation2a">
    <w:name w:val="Equation2a"/>
    <w:basedOn w:val="Normal"/>
    <w:rsid w:val="00CF6E31"/>
    <w:pPr>
      <w:widowControl w:val="0"/>
      <w:numPr>
        <w:numId w:val="6"/>
      </w:numPr>
      <w:tabs>
        <w:tab w:val="left" w:pos="72"/>
      </w:tabs>
      <w:spacing w:before="100" w:after="100"/>
      <w:ind w:left="2880"/>
    </w:pPr>
  </w:style>
  <w:style w:type="paragraph" w:customStyle="1" w:styleId="Outline5">
    <w:name w:val="Outline 5"/>
    <w:basedOn w:val="Outline1"/>
    <w:rsid w:val="00CF6E31"/>
    <w:pPr>
      <w:tabs>
        <w:tab w:val="left" w:pos="0"/>
        <w:tab w:val="left" w:pos="600"/>
        <w:tab w:val="left" w:pos="1560"/>
        <w:tab w:val="left" w:pos="2040"/>
      </w:tabs>
      <w:suppressAutoHyphens/>
      <w:ind w:left="2160" w:hanging="360"/>
      <w:outlineLvl w:val="4"/>
    </w:pPr>
  </w:style>
</w:styles>
</file>

<file path=word/webSettings.xml><?xml version="1.0" encoding="utf-8"?>
<w:webSettings xmlns:r="http://schemas.openxmlformats.org/officeDocument/2006/relationships" xmlns:w="http://schemas.openxmlformats.org/wordprocessingml/2006/main">
  <w:divs>
    <w:div w:id="194395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1485</Words>
  <Characters>8465</Characters>
  <Application>Microsoft Office Word</Application>
  <DocSecurity>0</DocSecurity>
  <Lines>70</Lines>
  <Paragraphs>19</Paragraphs>
  <ScaleCrop>false</ScaleCrop>
  <Company/>
  <LinksUpToDate>false</LinksUpToDate>
  <CharactersWithSpaces>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1</cp:revision>
  <dcterms:created xsi:type="dcterms:W3CDTF">2022-03-29T00:02:00Z</dcterms:created>
  <dcterms:modified xsi:type="dcterms:W3CDTF">2022-03-29T00:04:00Z</dcterms:modified>
</cp:coreProperties>
</file>