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0" w:rsidRDefault="004C2890" w:rsidP="004C2890">
      <w:pPr>
        <w:pStyle w:val="chapternumber"/>
        <w:ind w:right="630"/>
        <w:jc w:val="left"/>
      </w:pPr>
      <w:r>
        <w:t>Chapter</w:t>
      </w:r>
      <w:r>
        <w:rPr>
          <w:caps w:val="0"/>
        </w:rPr>
        <w:t xml:space="preserve"> 10</w:t>
      </w:r>
    </w:p>
    <w:p w:rsidR="004C2890" w:rsidRDefault="004C2890" w:rsidP="004C2890">
      <w:pPr>
        <w:tabs>
          <w:tab w:val="left" w:pos="270"/>
          <w:tab w:val="right" w:pos="9360"/>
        </w:tabs>
        <w:ind w:right="63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 FOR LONG-TERM LIABILITIES</w:t>
      </w:r>
    </w:p>
    <w:p w:rsidR="004C2890" w:rsidRDefault="004C2890">
      <w:pPr>
        <w:rPr>
          <w:rFonts w:asciiTheme="minorHAnsi" w:hAnsiTheme="minorHAnsi" w:cstheme="minorHAnsi"/>
        </w:rPr>
      </w:pPr>
    </w:p>
    <w:tbl>
      <w:tblPr>
        <w:tblW w:w="10260" w:type="dxa"/>
        <w:tblBorders>
          <w:insideV w:val="single" w:sz="4" w:space="0" w:color="auto"/>
        </w:tblBorders>
        <w:tblLayout w:type="fixed"/>
        <w:tblLook w:val="0000"/>
      </w:tblPr>
      <w:tblGrid>
        <w:gridCol w:w="10170"/>
        <w:gridCol w:w="90"/>
      </w:tblGrid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Heading1"/>
            </w:pPr>
            <w:r w:rsidRPr="00FD1ED4">
              <w:br w:type="page"/>
              <w:t>Chapter Outline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4C2890">
            <w:pPr>
              <w:pStyle w:val="Outline1"/>
              <w:numPr>
                <w:ilvl w:val="0"/>
                <w:numId w:val="6"/>
              </w:numPr>
              <w:rPr>
                <w:b/>
              </w:rPr>
            </w:pPr>
            <w:r w:rsidRPr="00FD1ED4">
              <w:rPr>
                <w:b/>
              </w:rPr>
              <w:t>Basics of Bonds</w:t>
            </w:r>
          </w:p>
          <w:p w:rsidR="004C2890" w:rsidRPr="00FD1ED4" w:rsidRDefault="004C2890" w:rsidP="007B5DEC">
            <w:pPr>
              <w:pStyle w:val="Outline1"/>
              <w:ind w:firstLine="0"/>
            </w:pPr>
            <w:r w:rsidRPr="00FD1ED4">
              <w:t xml:space="preserve">Projects that </w:t>
            </w:r>
            <w:r>
              <w:t>need a lot</w:t>
            </w:r>
            <w:r w:rsidRPr="00FD1ED4">
              <w:t xml:space="preserve"> of money often are </w:t>
            </w:r>
            <w:r>
              <w:t>financed with</w:t>
            </w:r>
            <w:r w:rsidRPr="00FD1ED4">
              <w:t xml:space="preserve"> bond</w:t>
            </w:r>
            <w:r>
              <w:t>s</w:t>
            </w:r>
            <w:r w:rsidRPr="00FD1ED4">
              <w:t>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2"/>
              <w:rPr>
                <w:b/>
              </w:rPr>
            </w:pPr>
            <w:r w:rsidRPr="00FD1ED4">
              <w:t>A.</w:t>
            </w:r>
            <w:r w:rsidRPr="00FD1ED4">
              <w:tab/>
              <w:t>Bond Financing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  <w:t xml:space="preserve">A </w:t>
            </w:r>
            <w:r w:rsidRPr="00FD1ED4">
              <w:rPr>
                <w:b/>
              </w:rPr>
              <w:t>bond</w:t>
            </w:r>
            <w:r w:rsidRPr="00FD1ED4">
              <w:t xml:space="preserve"> is its issuer’s written promise to pay the par value of the bond with interest. 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4"/>
            </w:pPr>
            <w:r w:rsidRPr="00FD1ED4">
              <w:t>a.</w:t>
            </w:r>
            <w:r w:rsidRPr="00FD1ED4">
              <w:tab/>
              <w:t>Most bonds require the issuer to make periodic interest payments.</w:t>
            </w:r>
          </w:p>
          <w:p w:rsidR="004C2890" w:rsidRDefault="004C2890" w:rsidP="007B5DEC">
            <w:pPr>
              <w:pStyle w:val="Outline4"/>
            </w:pPr>
            <w:r w:rsidRPr="00FD1ED4">
              <w:t>b.</w:t>
            </w:r>
            <w:r w:rsidRPr="00FD1ED4">
              <w:tab/>
              <w:t xml:space="preserve">The </w:t>
            </w:r>
            <w:r w:rsidRPr="00FD1ED4">
              <w:rPr>
                <w:b/>
              </w:rPr>
              <w:t>par value</w:t>
            </w:r>
            <w:r w:rsidRPr="00FD1ED4">
              <w:rPr>
                <w:b/>
                <w:i/>
              </w:rPr>
              <w:t xml:space="preserve"> </w:t>
            </w:r>
            <w:r w:rsidRPr="00FD1ED4">
              <w:rPr>
                <w:b/>
              </w:rPr>
              <w:t>of a bond</w:t>
            </w:r>
            <w:r>
              <w:t xml:space="preserve">, </w:t>
            </w:r>
            <w:r w:rsidRPr="00FD1ED4">
              <w:t xml:space="preserve">or </w:t>
            </w:r>
            <w:r w:rsidRPr="00FD1ED4">
              <w:rPr>
                <w:i/>
              </w:rPr>
              <w:t>face value</w:t>
            </w:r>
            <w:r w:rsidRPr="00FD1ED4">
              <w:t xml:space="preserve">, is paid at a </w:t>
            </w:r>
            <w:r>
              <w:t>stated</w:t>
            </w:r>
            <w:r w:rsidRPr="00FD1ED4">
              <w:t xml:space="preserve"> future date </w:t>
            </w:r>
            <w:r>
              <w:t>called</w:t>
            </w:r>
            <w:r w:rsidRPr="00FD1ED4">
              <w:t xml:space="preserve"> the </w:t>
            </w:r>
            <w:r w:rsidRPr="00FD1ED4">
              <w:rPr>
                <w:i/>
              </w:rPr>
              <w:t>maturity date</w:t>
            </w:r>
            <w:r w:rsidRPr="00FD1ED4">
              <w:t>.</w:t>
            </w:r>
          </w:p>
          <w:p w:rsidR="004C2890" w:rsidRPr="00FD1ED4" w:rsidRDefault="004C2890" w:rsidP="007B5DEC">
            <w:pPr>
              <w:pStyle w:val="Outline4"/>
            </w:pPr>
            <w:r>
              <w:t xml:space="preserve">c.   Most bonds also require the issuer to make semiannual (twice a year) </w:t>
            </w:r>
            <w:r w:rsidRPr="007F77A8">
              <w:rPr>
                <w:i/>
              </w:rPr>
              <w:t xml:space="preserve">interest </w:t>
            </w:r>
            <w:r>
              <w:t>payments. Interest is computed as par (face amount) value multiplied by the bond contract rate.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  <w:t xml:space="preserve">Advantages of </w:t>
            </w:r>
            <w:r>
              <w:t>B</w:t>
            </w:r>
            <w:r w:rsidRPr="00FD1ED4">
              <w:t>onds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4"/>
            </w:pPr>
            <w:r w:rsidRPr="00FD1ED4">
              <w:t>a.</w:t>
            </w:r>
            <w:r w:rsidRPr="00FD1ED4">
              <w:tab/>
            </w:r>
            <w:r w:rsidRPr="00FD1ED4">
              <w:rPr>
                <w:i/>
              </w:rPr>
              <w:t>Bonds do not affect owner control.</w:t>
            </w:r>
          </w:p>
          <w:p w:rsidR="004C2890" w:rsidRPr="00FD1ED4" w:rsidRDefault="004C2890" w:rsidP="007B5DEC">
            <w:pPr>
              <w:pStyle w:val="Outline4"/>
            </w:pPr>
            <w:r w:rsidRPr="00FD1ED4">
              <w:t>b.</w:t>
            </w:r>
            <w:r w:rsidRPr="00FD1ED4">
              <w:tab/>
            </w:r>
            <w:r w:rsidRPr="00FD1ED4">
              <w:rPr>
                <w:i/>
              </w:rPr>
              <w:t>Interest on bonds is tax deductible.</w:t>
            </w:r>
          </w:p>
          <w:p w:rsidR="004C2890" w:rsidRPr="00FD1ED4" w:rsidRDefault="004C2890" w:rsidP="007B5DEC">
            <w:pPr>
              <w:pStyle w:val="Outline4"/>
            </w:pPr>
            <w:r w:rsidRPr="00FD1ED4">
              <w:t>c.</w:t>
            </w:r>
            <w:r w:rsidRPr="00FD1ED4">
              <w:tab/>
            </w:r>
            <w:r w:rsidRPr="00FD1ED4">
              <w:rPr>
                <w:i/>
              </w:rPr>
              <w:t>Bonds can increase return on equity</w:t>
            </w:r>
            <w:r w:rsidRPr="00FD1ED4">
              <w:t xml:space="preserve">. A company that earns a higher return with borrowed funds than it pays in interest on those funds increases its return on equity. This process is called </w:t>
            </w:r>
            <w:r w:rsidRPr="00FD1ED4">
              <w:rPr>
                <w:i/>
              </w:rPr>
              <w:t>financial</w:t>
            </w:r>
            <w:r w:rsidRPr="00FD1ED4">
              <w:t xml:space="preserve"> </w:t>
            </w:r>
            <w:r w:rsidRPr="00FD1ED4">
              <w:rPr>
                <w:i/>
              </w:rPr>
              <w:t>leverage</w:t>
            </w:r>
            <w:r w:rsidRPr="00FD1ED4">
              <w:t xml:space="preserve"> or </w:t>
            </w:r>
            <w:r w:rsidRPr="00FD1ED4">
              <w:rPr>
                <w:i/>
              </w:rPr>
              <w:t>trading on the equity.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3.</w:t>
            </w:r>
            <w:r w:rsidRPr="00FD1ED4">
              <w:tab/>
              <w:t xml:space="preserve">Disadvantages of </w:t>
            </w:r>
            <w:r>
              <w:t>B</w:t>
            </w:r>
            <w:r w:rsidRPr="00FD1ED4">
              <w:t>onds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4"/>
            </w:pPr>
            <w:r w:rsidRPr="00FD1ED4">
              <w:t>a.</w:t>
            </w:r>
            <w:r w:rsidRPr="00FD1ED4">
              <w:tab/>
            </w:r>
            <w:r w:rsidRPr="00FD1ED4">
              <w:rPr>
                <w:i/>
              </w:rPr>
              <w:t>Bonds can decrease return on equity</w:t>
            </w:r>
            <w:r w:rsidRPr="00FD1ED4">
              <w:t>. A company that earns a lower return with borrowed funds than it pays in interest on those funds decreases its return on equity.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4"/>
            </w:pPr>
            <w:r w:rsidRPr="00FD1ED4">
              <w:t>b.</w:t>
            </w:r>
            <w:r w:rsidRPr="00FD1ED4">
              <w:tab/>
            </w:r>
            <w:r w:rsidRPr="00FD1ED4">
              <w:rPr>
                <w:i/>
              </w:rPr>
              <w:t>Bonds require payment of both periodic interest and par value at maturity</w:t>
            </w:r>
            <w:r w:rsidRPr="00FD1ED4">
              <w:t>. Equity, by contrast, does not require any payments because cash withdrawals (dividends) are paid at the discretion of the owner (board).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Default="004C2890" w:rsidP="007B5DEC">
            <w:pPr>
              <w:pStyle w:val="Outline2"/>
            </w:pPr>
            <w:r w:rsidRPr="00FD1ED4">
              <w:t>B.</w:t>
            </w:r>
            <w:r w:rsidRPr="00FD1ED4">
              <w:tab/>
            </w:r>
            <w:r>
              <w:t>Bond Issuing</w:t>
            </w:r>
            <w:r w:rsidRPr="00FD1ED4">
              <w:t xml:space="preserve"> </w:t>
            </w:r>
          </w:p>
          <w:p w:rsidR="004C2890" w:rsidRPr="00FD1ED4" w:rsidRDefault="004C2890" w:rsidP="007B5DEC">
            <w:pPr>
              <w:pStyle w:val="Outline2"/>
            </w:pPr>
            <w:r>
              <w:t xml:space="preserve">       Bond issuances state the number of bonds </w:t>
            </w:r>
            <w:proofErr w:type="gramStart"/>
            <w:r>
              <w:t>authorized,</w:t>
            </w:r>
            <w:proofErr w:type="gramEnd"/>
            <w:r>
              <w:t xml:space="preserve"> their par value, and the contract interest rate</w:t>
            </w:r>
            <w:r w:rsidRPr="00FD1ED4">
              <w:t>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</w:r>
            <w:r w:rsidRPr="00FD1ED4">
              <w:rPr>
                <w:b/>
              </w:rPr>
              <w:t>Bond indenture</w:t>
            </w:r>
            <w:r w:rsidRPr="00FD1ED4">
              <w:t xml:space="preserve"> is the </w:t>
            </w:r>
            <w:r>
              <w:t xml:space="preserve">legal </w:t>
            </w:r>
            <w:r w:rsidRPr="00FD1ED4">
              <w:t xml:space="preserve">contract between the bond issuer and the bondholders; it identifies the obligations and rights of each party. A bondholder may also 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</w:r>
            <w:r>
              <w:t xml:space="preserve">A bondholder may also </w:t>
            </w:r>
            <w:r w:rsidRPr="00FD1ED4">
              <w:t xml:space="preserve">receive a </w:t>
            </w:r>
            <w:r w:rsidRPr="00FD1ED4">
              <w:rPr>
                <w:b/>
              </w:rPr>
              <w:t>bond certificate</w:t>
            </w:r>
            <w:r w:rsidRPr="00FD1ED4">
              <w:t xml:space="preserve"> </w:t>
            </w:r>
            <w:r>
              <w:t>is evidence of the company’s debt</w:t>
            </w:r>
            <w:r w:rsidRPr="00FD1ED4">
              <w:t>.</w:t>
            </w:r>
          </w:p>
        </w:tc>
      </w:tr>
      <w:tr w:rsidR="004C2890" w:rsidRPr="00FD1ED4" w:rsidTr="007B5DEC">
        <w:trPr>
          <w:trHeight w:val="711"/>
        </w:trPr>
        <w:tc>
          <w:tcPr>
            <w:tcW w:w="10260" w:type="dxa"/>
            <w:gridSpan w:val="2"/>
          </w:tcPr>
          <w:p w:rsidR="004C2890" w:rsidRDefault="004C2890" w:rsidP="007B5DEC">
            <w:pPr>
              <w:pStyle w:val="Outline3"/>
              <w:ind w:left="1080"/>
            </w:pPr>
            <w:r>
              <w:t xml:space="preserve">C. Bond Trading </w:t>
            </w:r>
            <w:r w:rsidRPr="00FD1ED4">
              <w:t xml:space="preserve"> 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  <w:t xml:space="preserve">Bonds </w:t>
            </w:r>
            <w:r>
              <w:t>are securities and can be readily bought and sold</w:t>
            </w:r>
            <w:r w:rsidRPr="00FD1ED4">
              <w:t xml:space="preserve">. 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  <w:t xml:space="preserve">A bond </w:t>
            </w:r>
            <w:r w:rsidRPr="00FD1ED4">
              <w:rPr>
                <w:i/>
              </w:rPr>
              <w:t xml:space="preserve">issue </w:t>
            </w:r>
            <w:r>
              <w:t xml:space="preserve">is the sale of </w:t>
            </w:r>
            <w:r w:rsidRPr="00FD1ED4">
              <w:t>bonds (denominations of</w:t>
            </w:r>
            <w:r>
              <w:t xml:space="preserve"> $1,000 or $5,000, etc.)</w:t>
            </w:r>
            <w:r w:rsidRPr="00FD1ED4">
              <w:t>.</w:t>
            </w:r>
          </w:p>
          <w:p w:rsidR="004C2890" w:rsidRDefault="004C2890" w:rsidP="007B5DEC">
            <w:pPr>
              <w:pStyle w:val="Outline2"/>
              <w:tabs>
                <w:tab w:val="clear" w:pos="1080"/>
              </w:tabs>
              <w:ind w:firstLine="0"/>
              <w:contextualSpacing/>
            </w:pPr>
            <w:r w:rsidRPr="00FD1ED4">
              <w:t>3.</w:t>
            </w:r>
            <w:r w:rsidRPr="00FD1ED4">
              <w:tab/>
              <w:t xml:space="preserve">Market value (price) </w:t>
            </w:r>
            <w:r>
              <w:t>is shown</w:t>
            </w:r>
            <w:r w:rsidRPr="00FD1ED4">
              <w:t xml:space="preserve"> as a percentage of par (face) </w:t>
            </w:r>
          </w:p>
          <w:p w:rsidR="004C2890" w:rsidRPr="00FD1ED4" w:rsidRDefault="004C2890" w:rsidP="007B5DEC">
            <w:pPr>
              <w:pStyle w:val="Outline2"/>
              <w:tabs>
                <w:tab w:val="clear" w:pos="1080"/>
              </w:tabs>
              <w:ind w:left="1440" w:firstLine="0"/>
              <w:contextualSpacing/>
            </w:pPr>
            <w:proofErr w:type="gramStart"/>
            <w:r w:rsidRPr="00FD1ED4">
              <w:t>value</w:t>
            </w:r>
            <w:proofErr w:type="gramEnd"/>
            <w:r w:rsidRPr="00FD1ED4">
              <w:t xml:space="preserve">. Examples: bonds issued at 103 ½ means that they are sold for 103.5% of par value. Bonds issued at 95 means that they are sold for 95% of par value. 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1"/>
            </w:pPr>
            <w:r>
              <w:rPr>
                <w:b/>
              </w:rPr>
              <w:br w:type="page"/>
            </w:r>
            <w:r w:rsidRPr="00FD1ED4">
              <w:rPr>
                <w:b/>
              </w:rPr>
              <w:t>II.</w:t>
            </w:r>
            <w:r w:rsidRPr="00FD1ED4">
              <w:rPr>
                <w:b/>
              </w:rPr>
              <w:tab/>
            </w:r>
            <w:r>
              <w:rPr>
                <w:b/>
              </w:rPr>
              <w:t>Par Bonds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2"/>
              <w:tabs>
                <w:tab w:val="clear" w:pos="1080"/>
              </w:tabs>
              <w:ind w:left="720" w:firstLine="0"/>
            </w:pPr>
            <w:r w:rsidRPr="00FD1ED4">
              <w:t xml:space="preserve">Issuing </w:t>
            </w:r>
            <w:r>
              <w:t>b</w:t>
            </w:r>
            <w:r w:rsidRPr="00FD1ED4">
              <w:t xml:space="preserve">onds at </w:t>
            </w:r>
            <w:r>
              <w:t>p</w:t>
            </w:r>
            <w:r w:rsidRPr="00FD1ED4">
              <w:t>ar—bonds are sold for face amount.</w:t>
            </w:r>
            <w:r w:rsidRPr="00FD1ED4">
              <w:br/>
            </w:r>
            <w:r>
              <w:t xml:space="preserve">A. </w:t>
            </w:r>
            <w:r w:rsidRPr="00FD1ED4">
              <w:t>Entries are: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  <w:t xml:space="preserve">Issue date: debit </w:t>
            </w:r>
            <w:proofErr w:type="gramStart"/>
            <w:r w:rsidRPr="00FD1ED4">
              <w:t>Cash,</w:t>
            </w:r>
            <w:proofErr w:type="gramEnd"/>
            <w:r w:rsidRPr="00FD1ED4">
              <w:t xml:space="preserve"> credit Bonds Payable (face amount).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  <w:t xml:space="preserve">Interest date: debit Interest Expense, credit Cash (face times bond interest rate </w:t>
            </w:r>
            <w:proofErr w:type="gramStart"/>
            <w:r w:rsidRPr="00FD1ED4">
              <w:t>times</w:t>
            </w:r>
            <w:proofErr w:type="gramEnd"/>
            <w:r w:rsidRPr="00FD1ED4">
              <w:t xml:space="preserve"> interest period).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lastRenderedPageBreak/>
              <w:t>3.</w:t>
            </w:r>
            <w:r w:rsidRPr="00FD1ED4">
              <w:tab/>
              <w:t xml:space="preserve">Maturity date: debit Bonds </w:t>
            </w:r>
            <w:proofErr w:type="gramStart"/>
            <w:r w:rsidRPr="00FD1ED4">
              <w:t>Payable,</w:t>
            </w:r>
            <w:proofErr w:type="gramEnd"/>
            <w:r w:rsidRPr="00FD1ED4">
              <w:t xml:space="preserve"> credit Cash (face amount).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6C0D4F" w:rsidRDefault="004C2890" w:rsidP="004C2890">
            <w:pPr>
              <w:pStyle w:val="Outline2"/>
              <w:numPr>
                <w:ilvl w:val="0"/>
                <w:numId w:val="10"/>
              </w:numPr>
              <w:ind w:hanging="1099"/>
            </w:pPr>
            <w:r>
              <w:rPr>
                <w:b/>
              </w:rPr>
              <w:lastRenderedPageBreak/>
              <w:t>Discount Bonds</w:t>
            </w:r>
          </w:p>
          <w:p w:rsidR="004C2890" w:rsidRDefault="004C2890" w:rsidP="007B5DEC">
            <w:pPr>
              <w:pStyle w:val="Outline2"/>
              <w:tabs>
                <w:tab w:val="clear" w:pos="1080"/>
                <w:tab w:val="left" w:pos="1241"/>
              </w:tabs>
              <w:ind w:left="720" w:firstLine="0"/>
            </w:pPr>
            <w:r>
              <w:t>A.    Bond Discount or Premium</w:t>
            </w:r>
            <w:r w:rsidRPr="00FD1ED4">
              <w:t xml:space="preserve">—bonds are sold for an amount different </w:t>
            </w:r>
          </w:p>
          <w:p w:rsidR="004C2890" w:rsidRDefault="004C2890" w:rsidP="007B5DEC">
            <w:pPr>
              <w:pStyle w:val="Outline2"/>
              <w:tabs>
                <w:tab w:val="clear" w:pos="1080"/>
                <w:tab w:val="left" w:pos="1241"/>
              </w:tabs>
              <w:ind w:left="720" w:firstLine="0"/>
            </w:pPr>
            <w:r>
              <w:t xml:space="preserve">        </w:t>
            </w:r>
            <w:proofErr w:type="gramStart"/>
            <w:r w:rsidRPr="00FD1ED4">
              <w:t>than</w:t>
            </w:r>
            <w:proofErr w:type="gramEnd"/>
            <w:r w:rsidRPr="00FD1ED4">
              <w:t xml:space="preserve"> the face amount.</w:t>
            </w:r>
            <w:r>
              <w:t xml:space="preserve">    </w:t>
            </w:r>
          </w:p>
          <w:p w:rsidR="004C2890" w:rsidRDefault="004C2890" w:rsidP="007B5DEC">
            <w:pPr>
              <w:pStyle w:val="Outline2"/>
              <w:tabs>
                <w:tab w:val="clear" w:pos="1080"/>
                <w:tab w:val="left" w:pos="1241"/>
              </w:tabs>
              <w:ind w:left="720" w:firstLine="0"/>
            </w:pPr>
          </w:p>
          <w:p w:rsidR="004C2890" w:rsidRPr="00FD1ED4" w:rsidRDefault="004C2890" w:rsidP="007B5DEC">
            <w:pPr>
              <w:pStyle w:val="Outline2"/>
              <w:tabs>
                <w:tab w:val="clear" w:pos="1080"/>
                <w:tab w:val="left" w:pos="1241"/>
              </w:tabs>
              <w:ind w:left="0" w:firstLine="0"/>
            </w:pP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</w:r>
            <w:r w:rsidRPr="00FD1ED4">
              <w:rPr>
                <w:b/>
              </w:rPr>
              <w:t>Contract rate</w:t>
            </w:r>
            <w:r w:rsidRPr="00FD1ED4">
              <w:t xml:space="preserve">—(also called </w:t>
            </w:r>
            <w:r w:rsidRPr="00FD1ED4">
              <w:rPr>
                <w:i/>
              </w:rPr>
              <w:t>coupon rate, stated rate</w:t>
            </w:r>
            <w:r w:rsidRPr="00FD1ED4">
              <w:t xml:space="preserve">, or </w:t>
            </w:r>
            <w:r w:rsidRPr="00FD1ED4">
              <w:rPr>
                <w:i/>
              </w:rPr>
              <w:t>nominal rate</w:t>
            </w:r>
            <w:r w:rsidRPr="00FD1ED4">
              <w:t xml:space="preserve">) annual interest rate </w:t>
            </w:r>
            <w:r w:rsidRPr="00FD1ED4">
              <w:rPr>
                <w:i/>
              </w:rPr>
              <w:t xml:space="preserve">paid </w:t>
            </w:r>
            <w:r w:rsidRPr="00FD1ED4">
              <w:t>by the issuer of bonds (applied to par value).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</w:r>
            <w:r w:rsidRPr="00FD1ED4">
              <w:rPr>
                <w:b/>
              </w:rPr>
              <w:t>Market rate</w:t>
            </w:r>
            <w:r w:rsidRPr="00FD1ED4">
              <w:t>—annual rate borrowers are willing to pay and lenders are willing to accept for a particular bond and its risk level.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</w:pPr>
            <w:r w:rsidRPr="00FD1ED4">
              <w:t>3.</w:t>
            </w:r>
            <w:r w:rsidRPr="00FD1ED4">
              <w:tab/>
              <w:t xml:space="preserve">When contract rate and market rate are equal, bonds sell at par value; when contract rate is above market rate, bonds sell at a </w:t>
            </w:r>
            <w:r w:rsidRPr="00FD1ED4">
              <w:rPr>
                <w:i/>
              </w:rPr>
              <w:t>premium</w:t>
            </w:r>
            <w:r w:rsidRPr="00FD1ED4">
              <w:t xml:space="preserve"> (above par); when the contract rate is below market rate, bonds sell at a </w:t>
            </w:r>
            <w:r w:rsidRPr="00FD1ED4">
              <w:rPr>
                <w:i/>
              </w:rPr>
              <w:t xml:space="preserve">discount </w:t>
            </w:r>
            <w:r w:rsidRPr="00FD1ED4">
              <w:t>(below par).</w:t>
            </w:r>
          </w:p>
          <w:p w:rsidR="004C2890" w:rsidRPr="00FD1ED4" w:rsidRDefault="004C2890" w:rsidP="007B5DEC">
            <w:pPr>
              <w:pStyle w:val="Outline2"/>
            </w:pPr>
            <w:r>
              <w:t>B</w:t>
            </w:r>
            <w:r w:rsidRPr="00FD1ED4">
              <w:t>.</w:t>
            </w:r>
            <w:r w:rsidRPr="00FD1ED4">
              <w:tab/>
              <w:t xml:space="preserve">Issuing Bonds at a Discount—sell bonds for </w:t>
            </w:r>
            <w:r w:rsidRPr="00FD1ED4">
              <w:rPr>
                <w:i/>
              </w:rPr>
              <w:t>less</w:t>
            </w:r>
            <w:r w:rsidRPr="00FD1ED4">
              <w:t xml:space="preserve"> than par value.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Default="004C2890" w:rsidP="004C2890">
            <w:pPr>
              <w:pStyle w:val="Outline3"/>
              <w:numPr>
                <w:ilvl w:val="0"/>
                <w:numId w:val="17"/>
              </w:numPr>
            </w:pPr>
            <w:r w:rsidRPr="00FD1ED4">
              <w:t xml:space="preserve">The </w:t>
            </w:r>
            <w:r w:rsidRPr="00FD1ED4">
              <w:rPr>
                <w:b/>
              </w:rPr>
              <w:t>discount on bonds payable</w:t>
            </w:r>
            <w:r w:rsidRPr="00FD1ED4">
              <w:t xml:space="preserve"> is the difference between the par (face) value of a bond and its lower issuance price.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7"/>
              </w:numPr>
            </w:pPr>
            <w:r>
              <w:t>Cash Payments with Discount Bonds</w:t>
            </w:r>
          </w:p>
          <w:p w:rsidR="004C2890" w:rsidRPr="00FD1ED4" w:rsidRDefault="004C2890" w:rsidP="007B5DEC">
            <w:pPr>
              <w:pStyle w:val="Outline3"/>
            </w:pPr>
            <w:r>
              <w:t>3</w:t>
            </w:r>
            <w:r w:rsidRPr="00FD1ED4">
              <w:t>.</w:t>
            </w:r>
            <w:r w:rsidRPr="00FD1ED4">
              <w:tab/>
            </w:r>
            <w:r>
              <w:t>Recording Issuance of Discount Bonds—</w:t>
            </w:r>
            <w:r w:rsidRPr="00FD1ED4">
              <w:t>Entry to record issuance at a discount: debit Cash (issue price), debit Discount on Bonds Payable (amount of discount)</w:t>
            </w:r>
            <w:r>
              <w:t>;</w:t>
            </w:r>
            <w:r w:rsidRPr="00FD1ED4">
              <w:t xml:space="preserve"> credit Bonds Payable (par value).</w:t>
            </w:r>
          </w:p>
          <w:p w:rsidR="004C2890" w:rsidRPr="00FD1ED4" w:rsidRDefault="004C2890" w:rsidP="007B5DEC">
            <w:pPr>
              <w:pStyle w:val="Outline3"/>
              <w:ind w:left="1800"/>
            </w:pPr>
            <w:r>
              <w:t xml:space="preserve">a.    </w:t>
            </w:r>
            <w:r w:rsidRPr="00FD1ED4">
              <w:t>Discount on Bonds Payable is a contra liability account</w:t>
            </w:r>
            <w:r>
              <w:t xml:space="preserve"> with a normal debit balance</w:t>
            </w:r>
            <w:r w:rsidRPr="00FD1ED4">
              <w:t xml:space="preserve">; it is </w:t>
            </w:r>
            <w:r w:rsidRPr="00FD1ED4">
              <w:rPr>
                <w:i/>
              </w:rPr>
              <w:t>deducted</w:t>
            </w:r>
            <w:r w:rsidRPr="00FD1ED4">
              <w:t xml:space="preserve"> from par value to yield the </w:t>
            </w:r>
            <w:r w:rsidRPr="00FD1ED4">
              <w:rPr>
                <w:b/>
              </w:rPr>
              <w:t xml:space="preserve">carrying (book) value </w:t>
            </w:r>
            <w:r w:rsidRPr="00FD1ED4">
              <w:t>of the bonds payable.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  <w:ind w:left="1800" w:hanging="720"/>
            </w:pPr>
            <w:r>
              <w:t>4</w:t>
            </w:r>
            <w:r w:rsidRPr="00FD1ED4">
              <w:t>.</w:t>
            </w:r>
            <w:r w:rsidRPr="00FD1ED4">
              <w:tab/>
              <w:t xml:space="preserve">Amortizing </w:t>
            </w:r>
            <w:r>
              <w:t>Discount Bonds</w:t>
            </w:r>
          </w:p>
          <w:p w:rsidR="004C2890" w:rsidRPr="00FD1ED4" w:rsidRDefault="004C2890" w:rsidP="007B5DEC">
            <w:pPr>
              <w:pStyle w:val="Outline3"/>
              <w:ind w:left="1800"/>
            </w:pPr>
            <w:r w:rsidRPr="00FD1ED4">
              <w:t>a.</w:t>
            </w:r>
            <w:r w:rsidRPr="00FD1ED4">
              <w:tab/>
              <w:t xml:space="preserve">Total bond interest expense is the </w:t>
            </w:r>
            <w:r w:rsidRPr="00FD1ED4">
              <w:rPr>
                <w:i/>
              </w:rPr>
              <w:t>sum</w:t>
            </w:r>
            <w:r w:rsidRPr="00FD1ED4">
              <w:t xml:space="preserve"> of </w:t>
            </w:r>
            <w:r>
              <w:t xml:space="preserve">all </w:t>
            </w:r>
            <w:r w:rsidRPr="00FD1ED4">
              <w:t>the</w:t>
            </w:r>
            <w:r>
              <w:t xml:space="preserve"> cash </w:t>
            </w:r>
            <w:r w:rsidRPr="00FD1ED4">
              <w:t xml:space="preserve">interest payments </w:t>
            </w:r>
            <w:r>
              <w:t xml:space="preserve">plus the </w:t>
            </w:r>
            <w:r w:rsidRPr="00FD1ED4">
              <w:t>bond discount (or can be computed by comparing total amount borrowed to total amount repaid over life).</w:t>
            </w:r>
          </w:p>
          <w:p w:rsidR="004C2890" w:rsidRPr="00FD1ED4" w:rsidRDefault="004C2890" w:rsidP="007B5DEC">
            <w:pPr>
              <w:pStyle w:val="Outline3"/>
              <w:tabs>
                <w:tab w:val="clear" w:pos="1440"/>
                <w:tab w:val="left" w:pos="1602"/>
              </w:tabs>
              <w:ind w:left="1782"/>
            </w:pPr>
            <w:r w:rsidRPr="00FD1ED4">
              <w:t>b.</w:t>
            </w:r>
            <w:r w:rsidRPr="00FD1ED4">
              <w:tab/>
            </w:r>
            <w:r>
              <w:t xml:space="preserve">   </w:t>
            </w:r>
            <w:r w:rsidRPr="00FD1ED4">
              <w:t>Discount must be systematically reduced (</w:t>
            </w:r>
            <w:r w:rsidRPr="00FD1ED4">
              <w:rPr>
                <w:i/>
              </w:rPr>
              <w:t>amortized</w:t>
            </w:r>
            <w:r w:rsidRPr="00FD1ED4">
              <w:t>) over the life of the bond to report periodic interest expense incurred.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  <w:ind w:left="1800"/>
            </w:pPr>
            <w:r w:rsidRPr="00FD1ED4">
              <w:t>c.</w:t>
            </w:r>
            <w:r w:rsidRPr="00FD1ED4">
              <w:tab/>
              <w:t>Requires crediting Discount on Bonds Payable when bond interest expense is recorded (payment and/or accruals) and increasing Interest Expense by the amortized amount.</w:t>
            </w:r>
          </w:p>
          <w:p w:rsidR="004C2890" w:rsidRPr="00FD1ED4" w:rsidRDefault="004C2890" w:rsidP="007B5DEC">
            <w:pPr>
              <w:pStyle w:val="Outline3"/>
              <w:ind w:left="1800"/>
            </w:pPr>
            <w:r w:rsidRPr="00FD1ED4">
              <w:t>d</w:t>
            </w:r>
            <w:r w:rsidRPr="00FD1ED4">
              <w:rPr>
                <w:i/>
              </w:rPr>
              <w:t>.</w:t>
            </w:r>
            <w:r w:rsidRPr="00FD1ED4">
              <w:rPr>
                <w:i/>
              </w:rPr>
              <w:tab/>
            </w:r>
            <w:r w:rsidRPr="00FD1ED4">
              <w:t>Amortizing the discount increases book value; at maturity, the unamortized discount equals zero and the carrying value equals par value.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Default="004C2890" w:rsidP="007B5DEC">
            <w:pPr>
              <w:pStyle w:val="Outline4"/>
              <w:ind w:left="1440"/>
            </w:pPr>
            <w:r>
              <w:t>5</w:t>
            </w:r>
            <w:r w:rsidRPr="00FD1ED4">
              <w:t>.</w:t>
            </w:r>
            <w:r w:rsidRPr="00FD1ED4">
              <w:tab/>
              <w:t>Straight-</w:t>
            </w:r>
            <w:r>
              <w:t>L</w:t>
            </w:r>
            <w:r w:rsidRPr="00FD1ED4">
              <w:t xml:space="preserve">ine </w:t>
            </w:r>
            <w:r>
              <w:t>Method</w:t>
            </w:r>
            <w:r w:rsidRPr="00FD1ED4">
              <w:t>—allocates equal bond interest expense in each of the six-month interest periods.</w:t>
            </w:r>
          </w:p>
          <w:p w:rsidR="004C2890" w:rsidRDefault="004C2890" w:rsidP="007B5DEC">
            <w:pPr>
              <w:pStyle w:val="Outline4"/>
              <w:tabs>
                <w:tab w:val="clear" w:pos="1440"/>
              </w:tabs>
              <w:ind w:left="1692" w:hanging="612"/>
            </w:pPr>
            <w:r>
              <w:t xml:space="preserve">      a. We divide the total bond interest expense by the number of semiannual periods in the bonds’ life.</w:t>
            </w:r>
          </w:p>
          <w:p w:rsidR="004C2890" w:rsidRDefault="004C2890" w:rsidP="007B5DEC">
            <w:pPr>
              <w:pStyle w:val="Outline4"/>
              <w:tabs>
                <w:tab w:val="clear" w:pos="1440"/>
              </w:tabs>
              <w:ind w:left="1692" w:hanging="612"/>
            </w:pPr>
            <w:r>
              <w:t xml:space="preserve">      </w:t>
            </w:r>
            <w:proofErr w:type="gramStart"/>
            <w:r>
              <w:t>b.  During</w:t>
            </w:r>
            <w:proofErr w:type="gramEnd"/>
            <w:r>
              <w:t xml:space="preserve"> the bonds’ life, the discount decreases each period by the semiannual amortization amount. </w:t>
            </w:r>
          </w:p>
          <w:p w:rsidR="004C2890" w:rsidRPr="00FD1ED4" w:rsidRDefault="004C2890" w:rsidP="007B5DEC">
            <w:pPr>
              <w:pStyle w:val="Outline4"/>
              <w:tabs>
                <w:tab w:val="clear" w:pos="1440"/>
                <w:tab w:val="left" w:pos="1692"/>
              </w:tabs>
              <w:ind w:left="1692" w:hanging="612"/>
            </w:pPr>
            <w:r>
              <w:t xml:space="preserve">       c. The carrying value increases each period by the amount of the semiannual amortization amount.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DB574D" w:rsidRDefault="004C2890" w:rsidP="004C2890">
            <w:pPr>
              <w:pStyle w:val="Outline2"/>
              <w:numPr>
                <w:ilvl w:val="0"/>
                <w:numId w:val="10"/>
              </w:numPr>
              <w:ind w:hanging="1189"/>
            </w:pPr>
            <w:r>
              <w:rPr>
                <w:b/>
              </w:rPr>
              <w:t>Premium Bonds</w:t>
            </w:r>
          </w:p>
          <w:p w:rsidR="004C2890" w:rsidRPr="00FD1ED4" w:rsidRDefault="004C2890" w:rsidP="007B5DEC">
            <w:pPr>
              <w:pStyle w:val="Outline2"/>
              <w:ind w:hanging="379"/>
            </w:pPr>
            <w:r>
              <w:t xml:space="preserve">A.    </w:t>
            </w:r>
            <w:r w:rsidRPr="00FD1ED4">
              <w:t xml:space="preserve">Issuing Bonds at a Premium—sell bonds for </w:t>
            </w:r>
            <w:r w:rsidRPr="00FD1ED4">
              <w:rPr>
                <w:i/>
              </w:rPr>
              <w:t>more</w:t>
            </w:r>
            <w:r w:rsidRPr="00FD1ED4">
              <w:t xml:space="preserve"> than par value.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Default="004C2890" w:rsidP="004C2890">
            <w:pPr>
              <w:pStyle w:val="Outline3"/>
              <w:numPr>
                <w:ilvl w:val="0"/>
                <w:numId w:val="18"/>
              </w:numPr>
            </w:pPr>
            <w:r w:rsidRPr="00FD1ED4">
              <w:t xml:space="preserve">The </w:t>
            </w:r>
            <w:r w:rsidRPr="00FD1ED4">
              <w:rPr>
                <w:b/>
              </w:rPr>
              <w:t>premium on bonds payable</w:t>
            </w:r>
            <w:r w:rsidRPr="00FD1ED4">
              <w:t xml:space="preserve"> is the difference between the par value of a bond and its higher issuance price.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8"/>
              </w:numPr>
            </w:pPr>
            <w:r>
              <w:t>Cash Payments with Premium Bonds.</w:t>
            </w:r>
          </w:p>
          <w:p w:rsidR="004C2890" w:rsidRPr="00FD1ED4" w:rsidRDefault="004C2890" w:rsidP="007B5DEC">
            <w:pPr>
              <w:pStyle w:val="Outline3"/>
            </w:pPr>
            <w:r>
              <w:lastRenderedPageBreak/>
              <w:t>3</w:t>
            </w:r>
            <w:r w:rsidRPr="00FD1ED4">
              <w:t>.</w:t>
            </w:r>
            <w:r w:rsidRPr="00FD1ED4">
              <w:tab/>
            </w:r>
            <w:r>
              <w:t>Recording Issuance of Premium Bonds—</w:t>
            </w:r>
            <w:r w:rsidRPr="00FD1ED4">
              <w:t xml:space="preserve">Entry to record issuance at a premium: debit Cash (issue price), credit Premium on Bonds Payable (amount of premium), </w:t>
            </w:r>
            <w:proofErr w:type="gramStart"/>
            <w:r w:rsidRPr="00FD1ED4">
              <w:t>credit</w:t>
            </w:r>
            <w:proofErr w:type="gramEnd"/>
            <w:r w:rsidRPr="00FD1ED4">
              <w:t xml:space="preserve"> Bonds Payable (par value).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4C2890">
            <w:pPr>
              <w:pStyle w:val="Outline2"/>
              <w:numPr>
                <w:ilvl w:val="0"/>
                <w:numId w:val="3"/>
              </w:numPr>
              <w:spacing w:before="40"/>
              <w:ind w:left="1800"/>
            </w:pPr>
            <w:r w:rsidRPr="00FD1ED4">
              <w:lastRenderedPageBreak/>
              <w:t>Premium on Bonds Payable is an adjunct liability account</w:t>
            </w:r>
            <w:r>
              <w:t xml:space="preserve"> with a normal credit balance</w:t>
            </w:r>
            <w:r w:rsidRPr="00FD1ED4">
              <w:t>; it is added to par value to yield the carrying (or book) value of the bonds payable.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  <w:spacing w:before="40"/>
            </w:pPr>
            <w:r>
              <w:t>4</w:t>
            </w:r>
            <w:r w:rsidRPr="00FD1ED4">
              <w:t>.</w:t>
            </w:r>
            <w:r w:rsidRPr="00FD1ED4">
              <w:tab/>
              <w:t xml:space="preserve">Amortizing </w:t>
            </w:r>
            <w:r>
              <w:t xml:space="preserve">Premium </w:t>
            </w:r>
            <w:r w:rsidRPr="00FD1ED4">
              <w:t>Bond</w:t>
            </w:r>
            <w:r>
              <w:t>s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 w:rsidRPr="00FD1ED4">
              <w:t>a.</w:t>
            </w:r>
            <w:r w:rsidRPr="00FD1ED4">
              <w:tab/>
              <w:t xml:space="preserve">Total bond interest expense incurred is the </w:t>
            </w:r>
            <w:r>
              <w:t xml:space="preserve">sum of the </w:t>
            </w:r>
            <w:r w:rsidRPr="00FD1ED4">
              <w:t xml:space="preserve">interest payments </w:t>
            </w:r>
            <w:r w:rsidRPr="00FD1ED4">
              <w:rPr>
                <w:i/>
              </w:rPr>
              <w:t xml:space="preserve">less </w:t>
            </w:r>
            <w:r w:rsidRPr="00FD1ED4">
              <w:t>the bond premium.</w:t>
            </w:r>
          </w:p>
          <w:p w:rsidR="004C2890" w:rsidRDefault="004C2890" w:rsidP="007B5DEC">
            <w:pPr>
              <w:pStyle w:val="Outline3"/>
              <w:spacing w:before="40"/>
              <w:ind w:left="1800"/>
            </w:pPr>
            <w:r w:rsidRPr="00FD1ED4">
              <w:t>b.</w:t>
            </w:r>
            <w:r w:rsidRPr="00FD1ED4">
              <w:tab/>
              <w:t>Premiums must be systematically reduced (</w:t>
            </w:r>
            <w:r w:rsidRPr="00FD1ED4">
              <w:rPr>
                <w:i/>
              </w:rPr>
              <w:t>amortized</w:t>
            </w:r>
            <w:r w:rsidRPr="00FD1ED4">
              <w:t>) over the life of the bond to report periodic interest expense incurred.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 w:rsidRPr="00FD1ED4">
              <w:t>c.</w:t>
            </w:r>
            <w:r w:rsidRPr="00FD1ED4">
              <w:tab/>
              <w:t>Requires debiting Premium on Bonds Payable when bond interest expense is recorded (payment and/or accruals) and decreasing Interest Expense by the amortized amount.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 w:rsidRPr="00FD1ED4">
              <w:t>d</w:t>
            </w:r>
            <w:r w:rsidRPr="00FD1ED4">
              <w:rPr>
                <w:i/>
              </w:rPr>
              <w:t>.</w:t>
            </w:r>
            <w:r w:rsidRPr="00FD1ED4">
              <w:rPr>
                <w:i/>
              </w:rPr>
              <w:tab/>
            </w:r>
            <w:r w:rsidRPr="00FD1ED4">
              <w:t>Amortizing the premium decreases book value; at maturity, book value = face value.</w:t>
            </w:r>
          </w:p>
        </w:tc>
      </w:tr>
      <w:tr w:rsidR="004C2890" w:rsidRPr="00FD1ED4" w:rsidTr="007B5DEC">
        <w:tc>
          <w:tcPr>
            <w:tcW w:w="10260" w:type="dxa"/>
            <w:gridSpan w:val="2"/>
          </w:tcPr>
          <w:p w:rsidR="004C2890" w:rsidRPr="00FD1ED4" w:rsidRDefault="004C2890" w:rsidP="007B5DEC">
            <w:pPr>
              <w:pStyle w:val="Outline3"/>
              <w:spacing w:before="40"/>
            </w:pPr>
            <w:r>
              <w:t>4</w:t>
            </w:r>
            <w:r w:rsidRPr="00FD1ED4">
              <w:t>.</w:t>
            </w:r>
            <w:r w:rsidRPr="00FD1ED4">
              <w:tab/>
              <w:t>Straight-</w:t>
            </w:r>
            <w:r>
              <w:t>L</w:t>
            </w:r>
            <w:r w:rsidRPr="00FD1ED4">
              <w:t xml:space="preserve">ine </w:t>
            </w:r>
            <w:r>
              <w:t>Method—</w:t>
            </w:r>
            <w:r w:rsidRPr="00FD1ED4">
              <w:t>allocates an equal portion of the total premium to bond interest expense in each of the six-month interest periods.</w:t>
            </w:r>
          </w:p>
        </w:tc>
      </w:tr>
      <w:tr w:rsidR="004C2890" w:rsidRPr="00BF0FCC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BF0FCC" w:rsidRDefault="004C2890" w:rsidP="007B5DEC">
            <w:pPr>
              <w:pStyle w:val="Outline1"/>
              <w:spacing w:before="40"/>
              <w:ind w:left="1440"/>
            </w:pPr>
            <w:r w:rsidRPr="00BF0FCC">
              <w:t>B.</w:t>
            </w:r>
            <w:r w:rsidRPr="00BF0FCC">
              <w:tab/>
              <w:t>Bond Retirement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2"/>
              <w:spacing w:before="40"/>
              <w:ind w:left="1440"/>
              <w:rPr>
                <w:b/>
              </w:rPr>
            </w:pPr>
            <w:r>
              <w:t>1</w:t>
            </w:r>
            <w:r w:rsidRPr="00FD1ED4">
              <w:t>.</w:t>
            </w:r>
            <w:r w:rsidRPr="00FD1ED4">
              <w:tab/>
              <w:t>Bond Retirement at Maturity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>
              <w:t>a</w:t>
            </w:r>
            <w:r w:rsidRPr="00FD1ED4">
              <w:t>.</w:t>
            </w:r>
            <w:r w:rsidRPr="00FD1ED4">
              <w:tab/>
              <w:t>Carrying value at maturity will always equal par value.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>
              <w:t>b</w:t>
            </w:r>
            <w:r w:rsidRPr="00FD1ED4">
              <w:t>.</w:t>
            </w:r>
            <w:r w:rsidRPr="00FD1ED4">
              <w:tab/>
              <w:t>Entry to record bond retirement at maturity: debit Bonds Payable, credit Cash.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4C2890">
            <w:pPr>
              <w:pStyle w:val="Outline2"/>
              <w:numPr>
                <w:ilvl w:val="0"/>
                <w:numId w:val="1"/>
              </w:numPr>
              <w:spacing w:before="40"/>
              <w:ind w:left="1440"/>
            </w:pPr>
            <w:r w:rsidRPr="00FD1ED4">
              <w:t xml:space="preserve">Bond Retirement </w:t>
            </w:r>
            <w:r>
              <w:t>b</w:t>
            </w:r>
            <w:r w:rsidRPr="00FD1ED4">
              <w:t>efore Maturity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>
              <w:t>a</w:t>
            </w:r>
            <w:r w:rsidRPr="00FD1ED4">
              <w:t>.</w:t>
            </w:r>
            <w:r w:rsidRPr="00FD1ED4">
              <w:tab/>
              <w:t>Two common approaches to retire bonds before maturity: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4"/>
              <w:spacing w:before="40"/>
              <w:ind w:left="2160"/>
            </w:pPr>
            <w:proofErr w:type="spellStart"/>
            <w:r>
              <w:t>i</w:t>
            </w:r>
            <w:proofErr w:type="spellEnd"/>
            <w:r w:rsidRPr="00FD1ED4">
              <w:t>.</w:t>
            </w:r>
            <w:r w:rsidRPr="00FD1ED4">
              <w:tab/>
              <w:t>Exercise a call option—pay par value plus a call premium.</w:t>
            </w:r>
          </w:p>
          <w:p w:rsidR="004C2890" w:rsidRPr="00FD1ED4" w:rsidRDefault="004C2890" w:rsidP="007B5DEC">
            <w:pPr>
              <w:pStyle w:val="Outline4"/>
              <w:spacing w:before="40"/>
              <w:ind w:left="2160"/>
            </w:pPr>
            <w:r>
              <w:t>ii</w:t>
            </w:r>
            <w:r w:rsidRPr="00FD1ED4">
              <w:t>.</w:t>
            </w:r>
            <w:r w:rsidRPr="00FD1ED4">
              <w:tab/>
              <w:t>Purchase them on the open market.</w:t>
            </w:r>
          </w:p>
          <w:p w:rsidR="004C2890" w:rsidRPr="00FD1ED4" w:rsidRDefault="004C2890" w:rsidP="007B5DEC">
            <w:pPr>
              <w:pStyle w:val="Outline3"/>
              <w:spacing w:before="40"/>
              <w:ind w:left="1800"/>
            </w:pPr>
            <w:r>
              <w:t>b</w:t>
            </w:r>
            <w:r w:rsidRPr="00FD1ED4">
              <w:t>.</w:t>
            </w:r>
            <w:r w:rsidRPr="00FD1ED4">
              <w:tab/>
              <w:t>Difference between the purchase price and the bonds</w:t>
            </w:r>
            <w:r>
              <w:t>’</w:t>
            </w:r>
            <w:r w:rsidRPr="00FD1ED4">
              <w:t xml:space="preserve"> carrying value is recorded as a gain (or loss) on retirement of bonds.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2"/>
              <w:spacing w:before="40"/>
              <w:ind w:left="1440"/>
            </w:pP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4C2890">
            <w:pPr>
              <w:pStyle w:val="Outline1"/>
              <w:numPr>
                <w:ilvl w:val="0"/>
                <w:numId w:val="12"/>
              </w:numPr>
              <w:tabs>
                <w:tab w:val="clear" w:pos="1800"/>
              </w:tabs>
              <w:spacing w:before="40"/>
              <w:rPr>
                <w:b/>
              </w:rPr>
            </w:pPr>
            <w:r w:rsidRPr="00FD1ED4">
              <w:rPr>
                <w:b/>
              </w:rPr>
              <w:t>Long-Term Notes Payable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2"/>
              <w:ind w:left="720" w:firstLine="0"/>
            </w:pPr>
            <w:r w:rsidRPr="00FD1ED4">
              <w:t xml:space="preserve">Notes are issued to obtain assets, such as cash. Notes are </w:t>
            </w:r>
            <w:r>
              <w:t>usually</w:t>
            </w:r>
            <w:r w:rsidRPr="00FD1ED4">
              <w:t xml:space="preserve"> </w:t>
            </w:r>
            <w:r>
              <w:t>issued to</w:t>
            </w:r>
            <w:r w:rsidRPr="00FD1ED4">
              <w:t xml:space="preserve"> a single lender, such as a bank.</w:t>
            </w:r>
          </w:p>
          <w:p w:rsidR="004C2890" w:rsidRPr="00FD1ED4" w:rsidRDefault="004C2890" w:rsidP="007B5DEC">
            <w:pPr>
              <w:pStyle w:val="Outline2"/>
            </w:pPr>
            <w:r w:rsidRPr="00FD1ED4">
              <w:t>A.</w:t>
            </w:r>
            <w:r w:rsidRPr="00FD1ED4">
              <w:tab/>
            </w:r>
            <w:r w:rsidRPr="00627ACE">
              <w:t>Installment Notes</w:t>
            </w:r>
            <w:r w:rsidRPr="00FD1ED4">
              <w:t>—obligations requiring a series of periodic payments to the lender.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</w:r>
            <w:r>
              <w:t>Issuance of Notes—</w:t>
            </w:r>
            <w:r w:rsidRPr="00FD1ED4">
              <w:t>Entry to record issuance of an installment note for cash: debit Cash, credit to Notes Payable.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2.</w:t>
            </w:r>
            <w:r w:rsidRPr="00FD1ED4">
              <w:tab/>
            </w:r>
            <w:r>
              <w:t>Payments of Principal and Interest—</w:t>
            </w:r>
            <w:r w:rsidRPr="00FD1ED4">
              <w:t>Payments include interest expense accruing to the date of the payment plus a portion of the amount borrowed (</w:t>
            </w:r>
            <w:r w:rsidRPr="00FD1ED4">
              <w:rPr>
                <w:i/>
              </w:rPr>
              <w:t>principal</w:t>
            </w:r>
            <w:r w:rsidRPr="00FD1ED4">
              <w:t>).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4C2890">
            <w:pPr>
              <w:pStyle w:val="Outline4"/>
              <w:numPr>
                <w:ilvl w:val="0"/>
                <w:numId w:val="8"/>
              </w:numPr>
            </w:pPr>
            <w:r w:rsidRPr="00FD1ED4">
              <w:t xml:space="preserve">Equal total payments consist of changing amounts of interest and principal.  </w:t>
            </w:r>
          </w:p>
          <w:p w:rsidR="004C2890" w:rsidRPr="00FD1ED4" w:rsidRDefault="004C2890" w:rsidP="007B5DEC">
            <w:pPr>
              <w:pStyle w:val="Outline5"/>
              <w:ind w:left="1800" w:hanging="1800"/>
            </w:pPr>
            <w:r w:rsidRPr="00FD1ED4">
              <w:t xml:space="preserve">                          b.   Entry to record installment payment: debit Interest Expense (issue rate times the declining carrying value of note), debit Notes Payable (for difference between the equal payment and the interest expense)</w:t>
            </w:r>
            <w:proofErr w:type="gramStart"/>
            <w:r w:rsidRPr="00FD1ED4">
              <w:t>,</w:t>
            </w:r>
            <w:proofErr w:type="gramEnd"/>
            <w:r w:rsidRPr="00FD1ED4">
              <w:t xml:space="preserve"> credit Cash for the amount of the equal payment.   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2"/>
            </w:pPr>
            <w:r w:rsidRPr="00FD1ED4">
              <w:t>B.</w:t>
            </w:r>
            <w:r w:rsidRPr="00FD1ED4">
              <w:tab/>
              <w:t>Mortgages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Default="004C2890" w:rsidP="007B5DEC">
            <w:pPr>
              <w:pStyle w:val="Outline3"/>
              <w:tabs>
                <w:tab w:val="clear" w:pos="1440"/>
              </w:tabs>
              <w:ind w:left="1080" w:firstLine="0"/>
            </w:pPr>
            <w:r w:rsidRPr="00FD1ED4">
              <w:t xml:space="preserve">A </w:t>
            </w:r>
            <w:r w:rsidRPr="00FD1ED4">
              <w:rPr>
                <w:b/>
              </w:rPr>
              <w:t>mortgage</w:t>
            </w:r>
            <w:r w:rsidRPr="00FD1ED4">
              <w:t xml:space="preserve"> is a legal agreement that helps protect a lender if a borrower </w:t>
            </w:r>
            <w:r>
              <w:t>does not</w:t>
            </w:r>
            <w:r w:rsidRPr="00FD1ED4">
              <w:t xml:space="preserve"> make required payments. 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  <w:t>Accounting for mortgages—</w:t>
            </w:r>
            <w:r>
              <w:t>similar to</w:t>
            </w:r>
            <w:r w:rsidRPr="00FD1ED4">
              <w:t xml:space="preserve"> accounting for notes and bonds.</w:t>
            </w:r>
          </w:p>
          <w:p w:rsidR="004C2890" w:rsidRPr="00FD1ED4" w:rsidRDefault="004C2890" w:rsidP="007B5DEC">
            <w:pPr>
              <w:pStyle w:val="Heading1"/>
              <w:ind w:firstLine="1062"/>
            </w:pPr>
            <w:r w:rsidRPr="00A46694">
              <w:rPr>
                <w:rFonts w:ascii="Times New Roman" w:hAnsi="Times New Roman"/>
                <w:b w:val="0"/>
                <w:kern w:val="0"/>
                <w:sz w:val="22"/>
                <w:u w:val="none"/>
              </w:rPr>
              <w:t>2.</w:t>
            </w:r>
            <w:r w:rsidRPr="00A46694">
              <w:rPr>
                <w:rFonts w:ascii="Times New Roman" w:hAnsi="Times New Roman"/>
                <w:b w:val="0"/>
                <w:kern w:val="0"/>
                <w:sz w:val="22"/>
                <w:u w:val="none"/>
              </w:rPr>
              <w:tab/>
              <w:t>Mortgage agreements must be disclosed in financial statements.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4C2890">
            <w:pPr>
              <w:pStyle w:val="Outline1"/>
              <w:numPr>
                <w:ilvl w:val="0"/>
                <w:numId w:val="2"/>
              </w:numPr>
              <w:tabs>
                <w:tab w:val="clear" w:pos="1440"/>
                <w:tab w:val="clear" w:pos="1800"/>
              </w:tabs>
              <w:rPr>
                <w:b/>
              </w:rPr>
            </w:pPr>
            <w:r w:rsidRPr="00FD1ED4">
              <w:rPr>
                <w:b/>
              </w:rPr>
              <w:t>Decision Analysis—Debt Features and the Debt-to-Equity Ratio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Default="004C2890" w:rsidP="004C2890">
            <w:pPr>
              <w:pStyle w:val="Outline2"/>
              <w:numPr>
                <w:ilvl w:val="0"/>
                <w:numId w:val="9"/>
              </w:numPr>
            </w:pPr>
            <w:r w:rsidRPr="00FD1ED4">
              <w:lastRenderedPageBreak/>
              <w:t>Features of Bonds and Notes</w:t>
            </w:r>
          </w:p>
          <w:p w:rsidR="004C2890" w:rsidRPr="00FD1ED4" w:rsidRDefault="004C2890" w:rsidP="007B5DEC">
            <w:pPr>
              <w:pStyle w:val="Outline2"/>
              <w:ind w:left="720" w:firstLine="360"/>
            </w:pPr>
            <w:r w:rsidRPr="00FD1ED4">
              <w:t>1.  Secured or Unsecured</w:t>
            </w:r>
          </w:p>
          <w:p w:rsidR="004C2890" w:rsidRDefault="004C2890" w:rsidP="004C2890">
            <w:pPr>
              <w:pStyle w:val="Outline2"/>
              <w:numPr>
                <w:ilvl w:val="0"/>
                <w:numId w:val="13"/>
              </w:numPr>
            </w:pPr>
            <w:r w:rsidRPr="00FD1ED4">
              <w:rPr>
                <w:b/>
              </w:rPr>
              <w:t xml:space="preserve">Secured bonds </w:t>
            </w:r>
            <w:r w:rsidRPr="00FD1ED4">
              <w:t xml:space="preserve">and notes have specific assets of the issuer pledged (or </w:t>
            </w:r>
            <w:r w:rsidRPr="00FD1ED4">
              <w:rPr>
                <w:i/>
              </w:rPr>
              <w:t>mortgaged</w:t>
            </w:r>
            <w:r w:rsidRPr="00FD1ED4">
              <w:t>) as collateral.</w:t>
            </w:r>
          </w:p>
          <w:p w:rsidR="004C2890" w:rsidRDefault="004C2890" w:rsidP="004C2890">
            <w:pPr>
              <w:pStyle w:val="Outline2"/>
              <w:numPr>
                <w:ilvl w:val="0"/>
                <w:numId w:val="13"/>
              </w:numPr>
            </w:pPr>
            <w:r w:rsidRPr="00FD1ED4">
              <w:t xml:space="preserve">Unsecured bonds and notes also called </w:t>
            </w:r>
            <w:proofErr w:type="gramStart"/>
            <w:r w:rsidRPr="00FD1ED4">
              <w:rPr>
                <w:i/>
              </w:rPr>
              <w:t>debentures</w:t>
            </w:r>
            <w:r w:rsidRPr="00FD1ED4">
              <w:t>,</w:t>
            </w:r>
            <w:proofErr w:type="gramEnd"/>
            <w:r w:rsidRPr="00FD1ED4">
              <w:t xml:space="preserve"> are backed by the issuer’s general credit standing. Unsecured debt is riskier than secured debt.</w:t>
            </w:r>
          </w:p>
          <w:p w:rsidR="004C2890" w:rsidRPr="00FD1ED4" w:rsidRDefault="004C2890" w:rsidP="007B5DEC">
            <w:pPr>
              <w:pStyle w:val="Outline2"/>
              <w:ind w:left="720" w:firstLine="360"/>
            </w:pPr>
            <w:r w:rsidRPr="00FD1ED4">
              <w:t>2.  Term or Serial</w:t>
            </w:r>
          </w:p>
          <w:p w:rsidR="004C2890" w:rsidRDefault="004C2890" w:rsidP="004C2890">
            <w:pPr>
              <w:pStyle w:val="Outline3"/>
              <w:numPr>
                <w:ilvl w:val="0"/>
                <w:numId w:val="14"/>
              </w:numPr>
            </w:pPr>
            <w:r w:rsidRPr="00FD1ED4">
              <w:rPr>
                <w:b/>
              </w:rPr>
              <w:t>Term bonds</w:t>
            </w:r>
            <w:r w:rsidRPr="00FD1ED4">
              <w:t xml:space="preserve"> and notes </w:t>
            </w:r>
            <w:r>
              <w:t>mature</w:t>
            </w:r>
            <w:r w:rsidRPr="00FD1ED4">
              <w:t xml:space="preserve"> on one specified date.</w:t>
            </w:r>
          </w:p>
          <w:p w:rsidR="004C2890" w:rsidRDefault="004C2890" w:rsidP="004C2890">
            <w:pPr>
              <w:pStyle w:val="Outline3"/>
              <w:numPr>
                <w:ilvl w:val="0"/>
                <w:numId w:val="14"/>
              </w:numPr>
              <w:tabs>
                <w:tab w:val="clear" w:pos="1440"/>
                <w:tab w:val="left" w:pos="1601"/>
              </w:tabs>
            </w:pPr>
            <w:r w:rsidRPr="00FD1ED4">
              <w:rPr>
                <w:b/>
              </w:rPr>
              <w:t>Serial bonds</w:t>
            </w:r>
            <w:r w:rsidRPr="00FD1ED4">
              <w:t xml:space="preserve"> and notes mature at more than one date (often in</w:t>
            </w:r>
            <w:r>
              <w:t xml:space="preserve"> </w:t>
            </w:r>
            <w:r w:rsidRPr="00FD1ED4">
              <w:t>series) and are usually repaid over a number of periods.</w:t>
            </w:r>
          </w:p>
          <w:p w:rsidR="004C2890" w:rsidRPr="00907110" w:rsidRDefault="004C2890" w:rsidP="004C2890">
            <w:pPr>
              <w:pStyle w:val="Outline3"/>
              <w:numPr>
                <w:ilvl w:val="0"/>
                <w:numId w:val="14"/>
              </w:numPr>
            </w:pPr>
            <w:r>
              <w:rPr>
                <w:b/>
              </w:rPr>
              <w:t xml:space="preserve">Sinking fund bonds </w:t>
            </w:r>
            <w:r>
              <w:t>reduce the holder’s risk by requiring the issue to set aside assets to pay debt in a sinking fund.</w:t>
            </w:r>
          </w:p>
          <w:p w:rsidR="004C2890" w:rsidRPr="00FD1ED4" w:rsidRDefault="004C2890" w:rsidP="007B5DEC">
            <w:pPr>
              <w:pStyle w:val="Outline2"/>
              <w:ind w:left="720" w:firstLine="360"/>
            </w:pPr>
            <w:r w:rsidRPr="00FD1ED4">
              <w:t>3.  Registered or Bearer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5"/>
              </w:numPr>
              <w:tabs>
                <w:tab w:val="clear" w:pos="1440"/>
                <w:tab w:val="left" w:pos="1601"/>
              </w:tabs>
            </w:pPr>
            <w:r>
              <w:t xml:space="preserve">    </w:t>
            </w:r>
            <w:r w:rsidRPr="00FD1ED4">
              <w:rPr>
                <w:b/>
              </w:rPr>
              <w:t>Registered bonds</w:t>
            </w:r>
            <w:r w:rsidRPr="00FD1ED4">
              <w:t xml:space="preserve"> are issued in the names and addresses of their holders. Bond payments are sent directly to registered holders.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5"/>
              </w:numPr>
            </w:pPr>
            <w:r w:rsidRPr="00FD1ED4">
              <w:rPr>
                <w:b/>
              </w:rPr>
              <w:t>Bearer bonds</w:t>
            </w:r>
            <w:r w:rsidRPr="00FD1ED4">
              <w:t xml:space="preserve">, also called </w:t>
            </w:r>
            <w:r w:rsidRPr="00FD1ED4">
              <w:rPr>
                <w:i/>
              </w:rPr>
              <w:t xml:space="preserve">unregistered </w:t>
            </w:r>
            <w:r w:rsidRPr="00FD1ED4">
              <w:t xml:space="preserve">bonds, are made payable to whoever holds them (the bearer). Many bearer bonds are also </w:t>
            </w:r>
            <w:r w:rsidRPr="00FD1ED4">
              <w:rPr>
                <w:b/>
              </w:rPr>
              <w:t>coupon bonds</w:t>
            </w:r>
            <w:r w:rsidRPr="00FD1ED4">
              <w:t>; which are interest coupons that are attached to the bonds.</w:t>
            </w:r>
          </w:p>
          <w:p w:rsidR="004C2890" w:rsidRPr="00FD1ED4" w:rsidRDefault="004C2890" w:rsidP="007B5DEC">
            <w:pPr>
              <w:pStyle w:val="Outline2"/>
              <w:ind w:left="720" w:firstLine="360"/>
            </w:pPr>
            <w:r w:rsidRPr="00FD1ED4">
              <w:t>4.  Convertible and/or Callable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6"/>
              </w:numPr>
              <w:tabs>
                <w:tab w:val="clear" w:pos="1440"/>
                <w:tab w:val="left" w:pos="1601"/>
              </w:tabs>
            </w:pPr>
            <w:r>
              <w:t xml:space="preserve">   </w:t>
            </w:r>
            <w:r w:rsidRPr="00FD1ED4">
              <w:rPr>
                <w:b/>
              </w:rPr>
              <w:t>Convertible bonds</w:t>
            </w:r>
            <w:r w:rsidRPr="00FD1ED4">
              <w:t xml:space="preserve"> and notes can be exchanged for a fixed number of shares of the issuing company’s common stock.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16"/>
              </w:numPr>
              <w:tabs>
                <w:tab w:val="clear" w:pos="1440"/>
                <w:tab w:val="left" w:pos="1601"/>
              </w:tabs>
            </w:pPr>
            <w:r w:rsidRPr="00FD1ED4">
              <w:rPr>
                <w:b/>
              </w:rPr>
              <w:t>Callable bonds</w:t>
            </w:r>
            <w:r w:rsidRPr="00FD1ED4">
              <w:t xml:space="preserve"> and notes have an option exercisable by the issuer to retire them at a stated dollar amount before maturity.</w:t>
            </w:r>
          </w:p>
          <w:p w:rsidR="004C2890" w:rsidRPr="00FD1ED4" w:rsidRDefault="004C2890" w:rsidP="007B5DEC">
            <w:pPr>
              <w:pStyle w:val="Outline2"/>
            </w:pPr>
            <w:r w:rsidRPr="00FD1ED4">
              <w:t>B.</w:t>
            </w:r>
            <w:r w:rsidRPr="00FD1ED4">
              <w:tab/>
              <w:t>Debt-to-Equity Ratio</w:t>
            </w:r>
          </w:p>
          <w:p w:rsidR="004C2890" w:rsidRPr="00FD1ED4" w:rsidRDefault="004C2890" w:rsidP="007B5DEC">
            <w:pPr>
              <w:pStyle w:val="Outline3"/>
            </w:pPr>
            <w:r w:rsidRPr="00FD1ED4">
              <w:t>1.</w:t>
            </w:r>
            <w:r w:rsidRPr="00FD1ED4">
              <w:tab/>
              <w:t>Knowing the level of debt helps in assessing the risk of a company’s financing structure.</w:t>
            </w:r>
          </w:p>
          <w:p w:rsidR="004C2890" w:rsidRPr="00FD1ED4" w:rsidRDefault="004C2890" w:rsidP="007B5DEC">
            <w:pPr>
              <w:pStyle w:val="Outline3"/>
              <w:tabs>
                <w:tab w:val="clear" w:pos="1080"/>
                <w:tab w:val="left" w:pos="1710"/>
              </w:tabs>
              <w:rPr>
                <w:bCs/>
              </w:rPr>
            </w:pPr>
            <w:r w:rsidRPr="00FD1ED4">
              <w:t>2.</w:t>
            </w:r>
            <w:r w:rsidRPr="00FD1ED4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FD1ED4">
              <w:rPr>
                <w:bCs/>
              </w:rPr>
              <w:t>A company financed mainly with debt is riskier than a company financed mainly with equity because liabilities must be repaid.</w:t>
            </w:r>
          </w:p>
          <w:p w:rsidR="004C2890" w:rsidRPr="00FD1ED4" w:rsidRDefault="004C2890" w:rsidP="007B5DEC">
            <w:pPr>
              <w:pStyle w:val="Outline3"/>
              <w:rPr>
                <w:bCs/>
              </w:rPr>
            </w:pPr>
            <w:r w:rsidRPr="00FD1ED4">
              <w:t>3.</w:t>
            </w:r>
            <w:r w:rsidRPr="00FD1ED4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FD1ED4">
              <w:rPr>
                <w:bCs/>
              </w:rPr>
              <w:t>Debt-to-equity ratio measures th</w:t>
            </w:r>
            <w:r>
              <w:rPr>
                <w:bCs/>
              </w:rPr>
              <w:t xml:space="preserve">e risk of a company’s financing </w:t>
            </w:r>
            <w:r w:rsidRPr="00FD1ED4">
              <w:rPr>
                <w:bCs/>
              </w:rPr>
              <w:t>structure.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Default="004C2890" w:rsidP="007B5DEC">
            <w:pPr>
              <w:pStyle w:val="Outline1"/>
              <w:tabs>
                <w:tab w:val="clear" w:pos="720"/>
                <w:tab w:val="clear" w:pos="1080"/>
                <w:tab w:val="left" w:pos="990"/>
              </w:tabs>
              <w:ind w:left="1440" w:hanging="360"/>
              <w:rPr>
                <w:b/>
              </w:rPr>
            </w:pPr>
            <w:r w:rsidRPr="00FD1ED4">
              <w:t>4.</w:t>
            </w:r>
            <w:r w:rsidRPr="00FD1ED4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FD1ED4">
              <w:rPr>
                <w:bCs/>
              </w:rPr>
              <w:t>Debt-to-equity ratio is computed by dividing total liabilities by total equity.</w:t>
            </w:r>
          </w:p>
          <w:p w:rsidR="004C2890" w:rsidRPr="00FD1ED4" w:rsidRDefault="004C2890" w:rsidP="007B5DEC">
            <w:pPr>
              <w:pStyle w:val="Outline1"/>
              <w:rPr>
                <w:b/>
              </w:rPr>
            </w:pPr>
            <w:r w:rsidRPr="00FD1ED4">
              <w:rPr>
                <w:b/>
              </w:rPr>
              <w:t>V</w:t>
            </w:r>
            <w:r>
              <w:rPr>
                <w:b/>
              </w:rPr>
              <w:t>II</w:t>
            </w:r>
            <w:r w:rsidRPr="00FD1ED4">
              <w:rPr>
                <w:b/>
              </w:rPr>
              <w:t>.</w:t>
            </w:r>
            <w:r w:rsidRPr="00FD1ED4">
              <w:rPr>
                <w:b/>
              </w:rPr>
              <w:tab/>
            </w:r>
            <w:r w:rsidRPr="00A46694">
              <w:rPr>
                <w:b/>
              </w:rPr>
              <w:t>Bond Pricing</w:t>
            </w:r>
            <w:r>
              <w:rPr>
                <w:b/>
              </w:rPr>
              <w:t xml:space="preserve"> (Appendix 10A</w:t>
            </w:r>
            <w:proofErr w:type="gramStart"/>
            <w:r>
              <w:rPr>
                <w:b/>
              </w:rPr>
              <w:t>)</w:t>
            </w:r>
            <w:proofErr w:type="gramEnd"/>
            <w:r w:rsidRPr="00FD1ED4">
              <w:br/>
              <w:t>The price of a bond is the present value of the bond</w:t>
            </w:r>
            <w:r>
              <w:t>’</w:t>
            </w:r>
            <w:r w:rsidRPr="00FD1ED4">
              <w:t xml:space="preserve">s future cash flows discounted at the current market rate. Present value tables can </w:t>
            </w:r>
            <w:r>
              <w:t xml:space="preserve">be used to compute price, which is the </w:t>
            </w:r>
            <w:r w:rsidRPr="00A46694">
              <w:rPr>
                <w:i/>
              </w:rPr>
              <w:t>combination</w:t>
            </w:r>
            <w:r>
              <w:t xml:space="preserve"> of the: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3"/>
              <w:spacing w:before="40"/>
            </w:pPr>
            <w:r w:rsidRPr="00FD1ED4">
              <w:t>1.</w:t>
            </w:r>
            <w:r w:rsidRPr="00FD1ED4">
              <w:tab/>
              <w:t>Present value of the maturity payment</w:t>
            </w:r>
            <w:r>
              <w:t xml:space="preserve"> (par value)</w:t>
            </w:r>
            <w:r w:rsidRPr="00FD1ED4">
              <w:t xml:space="preserve"> is found by using single payment table, the market rate, and number of periods until maturity.</w:t>
            </w:r>
          </w:p>
          <w:p w:rsidR="004C2890" w:rsidRPr="00FD1ED4" w:rsidRDefault="004C2890" w:rsidP="007B5DEC">
            <w:pPr>
              <w:pStyle w:val="Outline3"/>
              <w:spacing w:before="40"/>
            </w:pPr>
            <w:r w:rsidRPr="00FD1ED4">
              <w:t>2.</w:t>
            </w:r>
            <w:r w:rsidRPr="00FD1ED4">
              <w:tab/>
              <w:t>Present value of the semiannual interest payments is found by using annuity table, the market rate, and number of periods until maturity.</w:t>
            </w:r>
          </w:p>
          <w:p w:rsidR="004C2890" w:rsidRPr="00FD1ED4" w:rsidRDefault="004C2890" w:rsidP="007B5DEC">
            <w:pPr>
              <w:pStyle w:val="Outline2"/>
              <w:ind w:left="1440"/>
            </w:pPr>
            <w:r w:rsidRPr="00FD1ED4">
              <w:t xml:space="preserve">3.  </w:t>
            </w:r>
            <w:r>
              <w:t xml:space="preserve"> </w:t>
            </w:r>
            <w:r w:rsidRPr="00FD1ED4">
              <w:t>Present values found in present value tables in Appendix B at the end of this book.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4C2890">
            <w:pPr>
              <w:pStyle w:val="Outline1"/>
              <w:numPr>
                <w:ilvl w:val="0"/>
                <w:numId w:val="4"/>
              </w:numPr>
              <w:rPr>
                <w:b/>
                <w:bCs/>
              </w:rPr>
            </w:pPr>
            <w:r w:rsidRPr="00FD1ED4">
              <w:rPr>
                <w:b/>
                <w:bCs/>
              </w:rPr>
              <w:t>Effective Interest Amortizatio</w:t>
            </w:r>
            <w:r>
              <w:rPr>
                <w:b/>
                <w:bCs/>
              </w:rPr>
              <w:t>n (Appendix 10</w:t>
            </w:r>
            <w:r w:rsidRPr="00FD1ED4">
              <w:rPr>
                <w:b/>
                <w:bCs/>
              </w:rPr>
              <w:t>B</w:t>
            </w:r>
            <w:r>
              <w:rPr>
                <w:b/>
                <w:bCs/>
              </w:rPr>
              <w:t>)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080" w:hanging="360"/>
              <w:rPr>
                <w:bCs/>
              </w:rPr>
            </w:pPr>
            <w:r w:rsidRPr="00FD1ED4">
              <w:rPr>
                <w:bCs/>
              </w:rPr>
              <w:t>A</w:t>
            </w:r>
            <w:r>
              <w:rPr>
                <w:bCs/>
              </w:rPr>
              <w:t>.</w:t>
            </w:r>
            <w:r w:rsidRPr="00FD1ED4">
              <w:rPr>
                <w:bCs/>
              </w:rPr>
              <w:tab/>
              <w:t>Effective Interest Amortization of Discount Bond</w:t>
            </w:r>
            <w:r>
              <w:rPr>
                <w:bCs/>
              </w:rPr>
              <w:t>s</w:t>
            </w:r>
          </w:p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>1.</w:t>
            </w:r>
            <w:r w:rsidRPr="00FD1ED4">
              <w:rPr>
                <w:bCs/>
              </w:rPr>
              <w:tab/>
              <w:t>The straight-line method yields changes in the bonds’ carrying value while the amount for bond interest expense remains constant.</w:t>
            </w:r>
            <w:r>
              <w:rPr>
                <w:bCs/>
              </w:rPr>
              <w:t xml:space="preserve"> (Total interest expense / # interest periods)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>2.</w:t>
            </w:r>
            <w:r w:rsidRPr="00FD1ED4">
              <w:rPr>
                <w:bCs/>
              </w:rPr>
              <w:tab/>
              <w:t xml:space="preserve">The </w:t>
            </w:r>
            <w:r w:rsidRPr="00FD1ED4">
              <w:rPr>
                <w:b/>
                <w:bCs/>
              </w:rPr>
              <w:t>effective interest method</w:t>
            </w:r>
            <w:r w:rsidRPr="00FD1ED4">
              <w:rPr>
                <w:bCs/>
              </w:rPr>
              <w:t xml:space="preserve"> allocates total bond interest expense over the bonds’ life in a way that yields a constant rate of interest.</w:t>
            </w:r>
          </w:p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 xml:space="preserve">3. </w:t>
            </w:r>
            <w:r w:rsidRPr="00FD1ED4">
              <w:rPr>
                <w:bCs/>
              </w:rPr>
              <w:tab/>
              <w:t xml:space="preserve">The key difference between the two methods lies in computing bond interest expense. Instead of </w:t>
            </w:r>
            <w:r w:rsidRPr="00FD1ED4">
              <w:rPr>
                <w:bCs/>
              </w:rPr>
              <w:lastRenderedPageBreak/>
              <w:t>assigning an equal amount of bond interest expense in each period, the effective interest method assigns a bond interest expense amount that increases over the life of a discount bond.</w:t>
            </w:r>
          </w:p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>4.</w:t>
            </w:r>
            <w:r w:rsidRPr="00FD1ED4">
              <w:rPr>
                <w:bCs/>
              </w:rPr>
              <w:tab/>
              <w:t>Both methods allocate the same amount of bond interest expense to the bonds’ life, but in different patterns.</w:t>
            </w:r>
          </w:p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>5.</w:t>
            </w:r>
            <w:r w:rsidRPr="00FD1ED4">
              <w:rPr>
                <w:bCs/>
              </w:rPr>
              <w:tab/>
              <w:t>Except for differences in amounts, journal entries recording the expense and updating the Discount on Bonds Payable account balance are the same under both methods.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1"/>
              <w:tabs>
                <w:tab w:val="clear" w:pos="1440"/>
              </w:tabs>
              <w:ind w:left="1080" w:hanging="360"/>
              <w:rPr>
                <w:bCs/>
              </w:rPr>
            </w:pPr>
            <w:r w:rsidRPr="00FD1ED4">
              <w:rPr>
                <w:bCs/>
              </w:rPr>
              <w:lastRenderedPageBreak/>
              <w:t>B</w:t>
            </w:r>
            <w:r>
              <w:rPr>
                <w:bCs/>
              </w:rPr>
              <w:t>.</w:t>
            </w:r>
            <w:r w:rsidRPr="00FD1ED4">
              <w:rPr>
                <w:bCs/>
              </w:rPr>
              <w:tab/>
              <w:t>Effective Interest Amortization of Premium Bond</w:t>
            </w:r>
            <w:r>
              <w:rPr>
                <w:bCs/>
              </w:rPr>
              <w:t>s</w:t>
            </w:r>
          </w:p>
          <w:p w:rsidR="004C2890" w:rsidRDefault="004C2890" w:rsidP="007B5DEC">
            <w:pPr>
              <w:pStyle w:val="Outline1"/>
              <w:tabs>
                <w:tab w:val="clear" w:pos="1440"/>
              </w:tabs>
              <w:ind w:left="1440" w:hanging="360"/>
              <w:rPr>
                <w:bCs/>
              </w:rPr>
            </w:pPr>
            <w:r w:rsidRPr="00FD1ED4">
              <w:rPr>
                <w:bCs/>
              </w:rPr>
              <w:t>1.</w:t>
            </w:r>
            <w:r w:rsidRPr="00FD1ED4">
              <w:rPr>
                <w:bCs/>
              </w:rPr>
              <w:tab/>
              <w:t xml:space="preserve">As noted above, the </w:t>
            </w:r>
            <w:r w:rsidRPr="00FD1ED4">
              <w:rPr>
                <w:b/>
                <w:bCs/>
              </w:rPr>
              <w:t>effective interest method</w:t>
            </w:r>
            <w:r w:rsidRPr="00FD1ED4">
              <w:rPr>
                <w:bCs/>
              </w:rPr>
              <w:t xml:space="preserve"> allocates total bond interest expense over the bonds’ life in a way that yields a constant rate of interest.</w:t>
            </w:r>
          </w:p>
          <w:p w:rsidR="004C2890" w:rsidRPr="00A44A60" w:rsidRDefault="004C2890" w:rsidP="007B5DEC">
            <w:pPr>
              <w:pStyle w:val="Outline1"/>
              <w:tabs>
                <w:tab w:val="clear" w:pos="1440"/>
              </w:tabs>
              <w:rPr>
                <w:bCs/>
                <w:sz w:val="4"/>
              </w:rPr>
            </w:pPr>
          </w:p>
        </w:tc>
      </w:tr>
      <w:tr w:rsidR="004C2890" w:rsidRPr="00E01717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E01717" w:rsidRDefault="004C2890" w:rsidP="007B5DEC">
            <w:pPr>
              <w:pStyle w:val="Outline3"/>
              <w:spacing w:before="40"/>
              <w:rPr>
                <w:b/>
              </w:rPr>
            </w:pPr>
            <w:r w:rsidRPr="00FD1ED4">
              <w:rPr>
                <w:bCs/>
              </w:rPr>
              <w:t>2.</w:t>
            </w:r>
            <w:r w:rsidRPr="00FD1ED4">
              <w:rPr>
                <w:bCs/>
              </w:rPr>
              <w:tab/>
              <w:t>Except for differences in amounts between the two methods (that is, the straight-line and effective interest methods), journal entries recording the expense and updating the Premium on Bonds Payable account are the same under both methods.</w:t>
            </w:r>
          </w:p>
        </w:tc>
      </w:tr>
      <w:tr w:rsidR="004C2890" w:rsidRPr="00A97A05" w:rsidTr="007B5DEC">
        <w:trPr>
          <w:gridAfter w:val="1"/>
          <w:wAfter w:w="90" w:type="dxa"/>
        </w:trPr>
        <w:tc>
          <w:tcPr>
            <w:tcW w:w="10170" w:type="dxa"/>
          </w:tcPr>
          <w:p w:rsidR="004C2890" w:rsidRDefault="004C2890" w:rsidP="004C2890">
            <w:pPr>
              <w:pStyle w:val="Outline3"/>
              <w:numPr>
                <w:ilvl w:val="0"/>
                <w:numId w:val="11"/>
              </w:numPr>
              <w:spacing w:before="40"/>
              <w:rPr>
                <w:b/>
                <w:bCs/>
              </w:rPr>
            </w:pPr>
            <w:r>
              <w:rPr>
                <w:b/>
              </w:rPr>
              <w:t>Leases and Pensions (Appendix 10</w:t>
            </w:r>
            <w:r w:rsidRPr="00FD1ED4">
              <w:rPr>
                <w:b/>
              </w:rPr>
              <w:t>C</w:t>
            </w:r>
            <w:r>
              <w:rPr>
                <w:b/>
              </w:rPr>
              <w:t>)</w:t>
            </w:r>
          </w:p>
          <w:p w:rsidR="004C2890" w:rsidRPr="00FD1ED4" w:rsidRDefault="004C2890" w:rsidP="004C2890">
            <w:pPr>
              <w:pStyle w:val="Outline2"/>
              <w:numPr>
                <w:ilvl w:val="0"/>
                <w:numId w:val="7"/>
              </w:numPr>
              <w:rPr>
                <w:iCs/>
              </w:rPr>
            </w:pPr>
            <w:r w:rsidRPr="00FD1ED4">
              <w:rPr>
                <w:iCs/>
              </w:rPr>
              <w:t>Lease Liabilities</w:t>
            </w:r>
          </w:p>
          <w:p w:rsidR="004C2890" w:rsidRDefault="004C2890" w:rsidP="007B5DEC">
            <w:pPr>
              <w:pStyle w:val="Outline2"/>
              <w:tabs>
                <w:tab w:val="clear" w:pos="2160"/>
                <w:tab w:val="left" w:pos="1170"/>
              </w:tabs>
              <w:ind w:firstLine="0"/>
            </w:pPr>
            <w:r w:rsidRPr="00FD1ED4">
              <w:rPr>
                <w:iCs/>
              </w:rPr>
              <w:t xml:space="preserve">A </w:t>
            </w:r>
            <w:r w:rsidRPr="00FD1ED4">
              <w:rPr>
                <w:b/>
                <w:iCs/>
              </w:rPr>
              <w:t xml:space="preserve">lease </w:t>
            </w:r>
            <w:r>
              <w:rPr>
                <w:iCs/>
              </w:rPr>
              <w:t xml:space="preserve">is an </w:t>
            </w:r>
            <w:r w:rsidRPr="00FD1ED4">
              <w:rPr>
                <w:iCs/>
              </w:rPr>
              <w:t xml:space="preserve">agreement between a </w:t>
            </w:r>
            <w:proofErr w:type="spellStart"/>
            <w:r w:rsidRPr="00FD1ED4">
              <w:rPr>
                <w:i/>
                <w:iCs/>
              </w:rPr>
              <w:t>lessor</w:t>
            </w:r>
            <w:proofErr w:type="spellEnd"/>
            <w:r w:rsidRPr="00FD1ED4">
              <w:rPr>
                <w:i/>
                <w:iCs/>
              </w:rPr>
              <w:t xml:space="preserve"> </w:t>
            </w:r>
            <w:r w:rsidRPr="00FD1ED4">
              <w:rPr>
                <w:iCs/>
              </w:rPr>
              <w:t xml:space="preserve">(owner) and a </w:t>
            </w:r>
            <w:r w:rsidRPr="00FD1ED4">
              <w:rPr>
                <w:i/>
              </w:rPr>
              <w:t>lessee</w:t>
            </w:r>
            <w:r w:rsidRPr="00FD1ED4">
              <w:t xml:space="preserve"> (renter or tenant) that </w:t>
            </w:r>
            <w:r>
              <w:t>gives</w:t>
            </w:r>
            <w:r w:rsidRPr="00FD1ED4">
              <w:t xml:space="preserve"> the lessee the right to use the asset for a period of time in return for cash (rent) payments.</w:t>
            </w:r>
          </w:p>
          <w:p w:rsidR="004C2890" w:rsidRDefault="004C2890" w:rsidP="007B5DEC">
            <w:pPr>
              <w:pStyle w:val="Outline2"/>
              <w:tabs>
                <w:tab w:val="clear" w:pos="2160"/>
                <w:tab w:val="left" w:pos="1170"/>
              </w:tabs>
              <w:ind w:firstLine="0"/>
            </w:pPr>
            <w:r>
              <w:t>Leases are either finance leases or operating leases. Lessee records a “Right-of-Use Asset” and “Lease Liability” equal to the present value of lease payments.</w:t>
            </w:r>
          </w:p>
          <w:p w:rsidR="004C2890" w:rsidRDefault="004C2890" w:rsidP="007B5DEC">
            <w:pPr>
              <w:pStyle w:val="Outline2"/>
            </w:pPr>
            <w:r>
              <w:rPr>
                <w:iCs/>
              </w:rPr>
              <w:t>B</w:t>
            </w:r>
            <w:r w:rsidRPr="00FD1ED4">
              <w:rPr>
                <w:iCs/>
              </w:rPr>
              <w:t>.</w:t>
            </w:r>
            <w:r w:rsidRPr="00FD1ED4">
              <w:rPr>
                <w:iCs/>
              </w:rPr>
              <w:tab/>
            </w:r>
            <w:r>
              <w:rPr>
                <w:b/>
              </w:rPr>
              <w:t>Finance L</w:t>
            </w:r>
            <w:r w:rsidRPr="00FD1ED4">
              <w:rPr>
                <w:b/>
              </w:rPr>
              <w:t>eases</w:t>
            </w:r>
            <w:r>
              <w:t xml:space="preserve"> are long-term </w:t>
            </w:r>
            <w:r w:rsidRPr="00FD1ED4">
              <w:t xml:space="preserve">leases </w:t>
            </w:r>
            <w:r>
              <w:t>where</w:t>
            </w:r>
            <w:r w:rsidRPr="00FD1ED4">
              <w:t xml:space="preserve"> the less</w:t>
            </w:r>
            <w:r>
              <w:t>ee</w:t>
            </w:r>
            <w:r w:rsidRPr="00FD1ED4">
              <w:t xml:space="preserve"> </w:t>
            </w:r>
            <w:r>
              <w:t>receives</w:t>
            </w:r>
            <w:r w:rsidRPr="00FD1ED4">
              <w:t xml:space="preserve"> substantially all </w:t>
            </w:r>
            <w:r>
              <w:t>remaining benefits of the asset</w:t>
            </w:r>
            <w:r w:rsidRPr="00FD1ED4">
              <w:t xml:space="preserve">. </w:t>
            </w:r>
            <w:r>
              <w:t>Similar to financing an asset purchase.</w:t>
            </w:r>
          </w:p>
          <w:p w:rsidR="004C2890" w:rsidRPr="00FD1ED4" w:rsidRDefault="004C2890" w:rsidP="004C2890">
            <w:pPr>
              <w:pStyle w:val="Outline2"/>
              <w:numPr>
                <w:ilvl w:val="0"/>
                <w:numId w:val="19"/>
              </w:numPr>
              <w:tabs>
                <w:tab w:val="clear" w:pos="1440"/>
                <w:tab w:val="clear" w:pos="1800"/>
              </w:tabs>
            </w:pPr>
            <w:r>
              <w:t>A finance l</w:t>
            </w:r>
            <w:r w:rsidRPr="00FD1ED4">
              <w:t xml:space="preserve">ease must meet </w:t>
            </w:r>
            <w:r w:rsidRPr="00FD1ED4">
              <w:rPr>
                <w:i/>
              </w:rPr>
              <w:t xml:space="preserve">one </w:t>
            </w:r>
            <w:r>
              <w:rPr>
                <w:i/>
              </w:rPr>
              <w:t xml:space="preserve">or more of </w:t>
            </w:r>
            <w:r w:rsidRPr="00FD1ED4">
              <w:rPr>
                <w:i/>
              </w:rPr>
              <w:t>f</w:t>
            </w:r>
            <w:r>
              <w:rPr>
                <w:i/>
              </w:rPr>
              <w:t xml:space="preserve">ive </w:t>
            </w:r>
            <w:r w:rsidRPr="00FD1ED4">
              <w:t>criteria:</w:t>
            </w:r>
          </w:p>
          <w:p w:rsidR="004C2890" w:rsidRPr="00FD1ED4" w:rsidRDefault="004C2890" w:rsidP="007B5DEC">
            <w:pPr>
              <w:pStyle w:val="Outline2"/>
              <w:ind w:left="1800"/>
            </w:pPr>
            <w:r>
              <w:t>a</w:t>
            </w:r>
            <w:r w:rsidRPr="00FD1ED4">
              <w:t>.</w:t>
            </w:r>
            <w:r w:rsidRPr="00FD1ED4">
              <w:tab/>
              <w:t xml:space="preserve">Transfer </w:t>
            </w:r>
            <w:r>
              <w:t xml:space="preserve">ownership </w:t>
            </w:r>
            <w:r w:rsidRPr="00FD1ED4">
              <w:t>of leased asset to lessee.</w:t>
            </w:r>
          </w:p>
          <w:p w:rsidR="004C2890" w:rsidRDefault="004C2890" w:rsidP="007B5DEC">
            <w:pPr>
              <w:pStyle w:val="Outline2"/>
              <w:ind w:left="1800"/>
            </w:pPr>
            <w:r>
              <w:t>b</w:t>
            </w:r>
            <w:r w:rsidRPr="00FD1ED4">
              <w:t>.</w:t>
            </w:r>
            <w:r w:rsidRPr="00FD1ED4">
              <w:tab/>
            </w:r>
            <w:r>
              <w:t>Has a purchase option that lessee is reasonably certain to exercise.</w:t>
            </w:r>
          </w:p>
          <w:p w:rsidR="004C2890" w:rsidRDefault="004C2890" w:rsidP="007B5DEC">
            <w:pPr>
              <w:pStyle w:val="Outline2"/>
              <w:ind w:left="1800"/>
            </w:pPr>
            <w:r>
              <w:t>c.   L</w:t>
            </w:r>
            <w:r w:rsidRPr="00FD1ED4">
              <w:t xml:space="preserve">ease term </w:t>
            </w:r>
            <w:r>
              <w:t xml:space="preserve">is for major part </w:t>
            </w:r>
            <w:r w:rsidRPr="00FD1ED4">
              <w:t>of leased asset</w:t>
            </w:r>
            <w:r>
              <w:t>’</w:t>
            </w:r>
            <w:r w:rsidRPr="00FD1ED4">
              <w:t xml:space="preserve">s </w:t>
            </w:r>
            <w:r>
              <w:t xml:space="preserve">remaining economic </w:t>
            </w:r>
            <w:r w:rsidRPr="00FD1ED4">
              <w:t xml:space="preserve">life. </w:t>
            </w:r>
          </w:p>
          <w:p w:rsidR="004C2890" w:rsidRDefault="004C2890" w:rsidP="007B5DEC">
            <w:pPr>
              <w:pStyle w:val="Outline2"/>
              <w:ind w:left="1800"/>
            </w:pPr>
            <w:r>
              <w:t xml:space="preserve">d.   Present value of lease payments equals or exceeds </w:t>
            </w:r>
          </w:p>
          <w:p w:rsidR="004C2890" w:rsidRDefault="004C2890" w:rsidP="007B5DEC">
            <w:pPr>
              <w:pStyle w:val="Outline2"/>
              <w:ind w:left="1800"/>
            </w:pPr>
            <w:r>
              <w:t xml:space="preserve">      </w:t>
            </w:r>
            <w:proofErr w:type="gramStart"/>
            <w:r>
              <w:t>substantially</w:t>
            </w:r>
            <w:proofErr w:type="gramEnd"/>
            <w:r>
              <w:t xml:space="preserve"> all of leased asset’s fair value.</w:t>
            </w:r>
          </w:p>
          <w:p w:rsidR="004C2890" w:rsidRDefault="004C2890" w:rsidP="007B5DEC">
            <w:pPr>
              <w:pStyle w:val="Outline2"/>
              <w:ind w:left="1800"/>
            </w:pPr>
            <w:r>
              <w:t xml:space="preserve">e.   Lease asset is specialized and expected to have no alternative use to </w:t>
            </w:r>
            <w:proofErr w:type="spellStart"/>
            <w:r>
              <w:t>lessor</w:t>
            </w:r>
            <w:proofErr w:type="spellEnd"/>
            <w:r>
              <w:t xml:space="preserve"> at lease-end.</w:t>
            </w:r>
          </w:p>
          <w:p w:rsidR="004C2890" w:rsidRPr="00FD1ED4" w:rsidRDefault="004C2890" w:rsidP="007B5DEC">
            <w:pPr>
              <w:pStyle w:val="Outline2"/>
            </w:pPr>
            <w:r>
              <w:rPr>
                <w:iCs/>
              </w:rPr>
              <w:t>C</w:t>
            </w:r>
            <w:r w:rsidRPr="00FD1ED4">
              <w:rPr>
                <w:iCs/>
              </w:rPr>
              <w:t>.</w:t>
            </w:r>
            <w:r w:rsidRPr="00FD1ED4">
              <w:rPr>
                <w:iCs/>
              </w:rPr>
              <w:tab/>
            </w:r>
            <w:r w:rsidRPr="00FD1ED4">
              <w:rPr>
                <w:b/>
              </w:rPr>
              <w:t xml:space="preserve">Operating </w:t>
            </w:r>
            <w:r>
              <w:rPr>
                <w:b/>
              </w:rPr>
              <w:t>L</w:t>
            </w:r>
            <w:r w:rsidRPr="00FD1ED4">
              <w:rPr>
                <w:b/>
              </w:rPr>
              <w:t>eases</w:t>
            </w:r>
            <w:r w:rsidRPr="00FD1ED4">
              <w:t xml:space="preserve"> are </w:t>
            </w:r>
            <w:r>
              <w:t>long</w:t>
            </w:r>
            <w:r w:rsidRPr="00FD1ED4">
              <w:t>-term</w:t>
            </w:r>
            <w:r>
              <w:t xml:space="preserve"> leases </w:t>
            </w:r>
            <w:r w:rsidRPr="00FD1ED4">
              <w:t xml:space="preserve">which </w:t>
            </w:r>
            <w:r>
              <w:t>do not meet any of the five criteria for finance leases.</w:t>
            </w:r>
          </w:p>
          <w:p w:rsidR="004C2890" w:rsidRPr="00FD1ED4" w:rsidRDefault="004C2890" w:rsidP="007B5DEC">
            <w:pPr>
              <w:pStyle w:val="Outline2"/>
              <w:ind w:left="1440"/>
            </w:pPr>
            <w:r>
              <w:t>1</w:t>
            </w:r>
            <w:r w:rsidRPr="00FD1ED4">
              <w:t>.</w:t>
            </w:r>
            <w:r w:rsidRPr="00FD1ED4">
              <w:tab/>
              <w:t>Lessee records lease payments as expenses.</w:t>
            </w:r>
          </w:p>
          <w:p w:rsidR="004C2890" w:rsidRDefault="004C2890" w:rsidP="007B5DEC">
            <w:pPr>
              <w:pStyle w:val="Outline2"/>
              <w:ind w:left="1440"/>
            </w:pPr>
            <w:r>
              <w:t>2</w:t>
            </w:r>
            <w:r w:rsidRPr="00FD1ED4">
              <w:t>.</w:t>
            </w:r>
            <w:r w:rsidRPr="00FD1ED4">
              <w:tab/>
            </w:r>
            <w:proofErr w:type="spellStart"/>
            <w:r w:rsidRPr="00FD1ED4">
              <w:t>Lessor</w:t>
            </w:r>
            <w:proofErr w:type="spellEnd"/>
            <w:r w:rsidRPr="00FD1ED4">
              <w:t xml:space="preserve"> records lease payments as revenues.</w:t>
            </w:r>
          </w:p>
          <w:p w:rsidR="004C2890" w:rsidRPr="00A97A05" w:rsidRDefault="004C2890" w:rsidP="007B5DEC">
            <w:pPr>
              <w:pStyle w:val="Outline2"/>
              <w:rPr>
                <w:b/>
                <w:bCs/>
              </w:rPr>
            </w:pPr>
            <w:r w:rsidRPr="00174FB6">
              <w:rPr>
                <w:bCs/>
              </w:rPr>
              <w:t>D.</w:t>
            </w:r>
            <w:r>
              <w:rPr>
                <w:b/>
                <w:bCs/>
              </w:rPr>
              <w:t xml:space="preserve"> Short-Term Leases</w:t>
            </w:r>
          </w:p>
        </w:tc>
      </w:tr>
      <w:tr w:rsidR="004C2890" w:rsidRPr="00FD1ED4" w:rsidTr="007B5DEC">
        <w:trPr>
          <w:gridAfter w:val="1"/>
          <w:wAfter w:w="90" w:type="dxa"/>
        </w:trPr>
        <w:tc>
          <w:tcPr>
            <w:tcW w:w="10170" w:type="dxa"/>
          </w:tcPr>
          <w:p w:rsidR="004C2890" w:rsidRPr="00FD1ED4" w:rsidRDefault="004C2890" w:rsidP="007B5DEC">
            <w:pPr>
              <w:pStyle w:val="Outline2"/>
            </w:pPr>
            <w:r>
              <w:t>E</w:t>
            </w:r>
            <w:r w:rsidRPr="00FD1ED4">
              <w:t>.</w:t>
            </w:r>
            <w:r w:rsidRPr="00FD1ED4">
              <w:tab/>
              <w:t>Pension Liabilities</w:t>
            </w:r>
          </w:p>
          <w:p w:rsidR="004C2890" w:rsidRPr="00FD1ED4" w:rsidRDefault="004C2890" w:rsidP="007B5DEC">
            <w:pPr>
              <w:pStyle w:val="Outline2"/>
              <w:ind w:firstLine="0"/>
            </w:pPr>
            <w:r w:rsidRPr="00FD1ED4">
              <w:t>A pension plan is a</w:t>
            </w:r>
            <w:r>
              <w:t>n</w:t>
            </w:r>
            <w:r w:rsidRPr="00FD1ED4">
              <w:t xml:space="preserve"> agreement </w:t>
            </w:r>
            <w:r>
              <w:t>for the employer to p</w:t>
            </w:r>
            <w:r w:rsidRPr="00FD1ED4">
              <w:t>rovide benefits (payments) to employees after they have retired.</w:t>
            </w:r>
          </w:p>
          <w:p w:rsidR="004C2890" w:rsidRPr="00FD1ED4" w:rsidRDefault="004C2890" w:rsidP="004C2890">
            <w:pPr>
              <w:pStyle w:val="Outline3"/>
              <w:numPr>
                <w:ilvl w:val="0"/>
                <w:numId w:val="5"/>
              </w:numPr>
              <w:tabs>
                <w:tab w:val="clear" w:pos="1800"/>
              </w:tabs>
              <w:spacing w:before="0"/>
            </w:pPr>
            <w:r w:rsidRPr="00FD1ED4">
              <w:t>Employer records their payment into pension plan as a debit to Pension Expense and a credit to Cash.</w:t>
            </w:r>
          </w:p>
          <w:p w:rsidR="004C2890" w:rsidRDefault="004C2890" w:rsidP="004C2890">
            <w:pPr>
              <w:pStyle w:val="Outline2"/>
              <w:numPr>
                <w:ilvl w:val="0"/>
                <w:numId w:val="5"/>
              </w:numPr>
              <w:tabs>
                <w:tab w:val="clear" w:pos="1800"/>
                <w:tab w:val="left" w:pos="1962"/>
              </w:tabs>
            </w:pPr>
            <w:r>
              <w:t xml:space="preserve">Defined Benefit Plan gives workers defined future benefits. </w:t>
            </w:r>
          </w:p>
          <w:p w:rsidR="004C2890" w:rsidRDefault="004C2890" w:rsidP="004C2890">
            <w:pPr>
              <w:pStyle w:val="Outline2"/>
              <w:numPr>
                <w:ilvl w:val="0"/>
                <w:numId w:val="5"/>
              </w:numPr>
              <w:tabs>
                <w:tab w:val="clear" w:pos="1800"/>
                <w:tab w:val="left" w:pos="1962"/>
              </w:tabs>
            </w:pPr>
            <w:r>
              <w:t>Pension liability is reported when the accumulated benefit obligation is more than the plan assets.</w:t>
            </w:r>
          </w:p>
          <w:p w:rsidR="004C2890" w:rsidRDefault="004C2890" w:rsidP="004C2890">
            <w:pPr>
              <w:pStyle w:val="Outline2"/>
              <w:numPr>
                <w:ilvl w:val="0"/>
                <w:numId w:val="5"/>
              </w:numPr>
              <w:tabs>
                <w:tab w:val="clear" w:pos="1800"/>
                <w:tab w:val="left" w:pos="1962"/>
              </w:tabs>
            </w:pPr>
            <w:r>
              <w:t>P</w:t>
            </w:r>
            <w:r w:rsidRPr="00FD1ED4">
              <w:t>ension plans can be overfunded (resulting in plan assets) or underfunded (resulting in plan liabilities).</w:t>
            </w:r>
          </w:p>
          <w:p w:rsidR="004C2890" w:rsidRPr="00FD1ED4" w:rsidRDefault="004C2890" w:rsidP="004C2890">
            <w:pPr>
              <w:pStyle w:val="Outline2"/>
              <w:numPr>
                <w:ilvl w:val="0"/>
                <w:numId w:val="5"/>
              </w:numPr>
              <w:tabs>
                <w:tab w:val="clear" w:pos="1800"/>
                <w:tab w:val="left" w:pos="1962"/>
              </w:tabs>
            </w:pPr>
            <w:r>
              <w:t xml:space="preserve">Other postretirement benefits refer to </w:t>
            </w:r>
            <w:proofErr w:type="spellStart"/>
            <w:r>
              <w:t>nonpension</w:t>
            </w:r>
            <w:proofErr w:type="spellEnd"/>
            <w:r>
              <w:t xml:space="preserve"> benefits such as health care and life insurance benefits. These costs are estimated, and liabilities accrued when employees earn them.</w:t>
            </w:r>
          </w:p>
        </w:tc>
      </w:tr>
    </w:tbl>
    <w:p w:rsidR="004C2890" w:rsidRPr="004C2890" w:rsidRDefault="004C2890" w:rsidP="00A44A60">
      <w:pPr>
        <w:rPr>
          <w:rFonts w:asciiTheme="minorHAnsi" w:hAnsiTheme="minorHAnsi" w:cstheme="minorHAnsi"/>
        </w:rPr>
      </w:pPr>
    </w:p>
    <w:sectPr w:rsidR="004C2890" w:rsidRPr="004C2890" w:rsidSect="0043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34BA"/>
    <w:multiLevelType w:val="hybridMultilevel"/>
    <w:tmpl w:val="B30666AA"/>
    <w:lvl w:ilvl="0" w:tplc="BD5AB1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9C6673"/>
    <w:multiLevelType w:val="singleLevel"/>
    <w:tmpl w:val="1C2E8964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DDC2ECA"/>
    <w:multiLevelType w:val="hybridMultilevel"/>
    <w:tmpl w:val="D35AB484"/>
    <w:lvl w:ilvl="0" w:tplc="5D3AE6AC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ED7"/>
    <w:multiLevelType w:val="hybridMultilevel"/>
    <w:tmpl w:val="760AC13A"/>
    <w:lvl w:ilvl="0" w:tplc="E676F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30DA2"/>
    <w:multiLevelType w:val="hybridMultilevel"/>
    <w:tmpl w:val="250CC896"/>
    <w:lvl w:ilvl="0" w:tplc="AE068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93E20"/>
    <w:multiLevelType w:val="hybridMultilevel"/>
    <w:tmpl w:val="283A7C00"/>
    <w:lvl w:ilvl="0" w:tplc="CF06C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DA4CA5"/>
    <w:multiLevelType w:val="singleLevel"/>
    <w:tmpl w:val="CF06CB2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</w:abstractNum>
  <w:abstractNum w:abstractNumId="7">
    <w:nsid w:val="418B2A45"/>
    <w:multiLevelType w:val="hybridMultilevel"/>
    <w:tmpl w:val="D2323FDE"/>
    <w:lvl w:ilvl="0" w:tplc="04EC3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112E40"/>
    <w:multiLevelType w:val="hybridMultilevel"/>
    <w:tmpl w:val="7048D406"/>
    <w:lvl w:ilvl="0" w:tplc="781C3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F19F2"/>
    <w:multiLevelType w:val="hybridMultilevel"/>
    <w:tmpl w:val="42344140"/>
    <w:lvl w:ilvl="0" w:tplc="AE22EB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A7327"/>
    <w:multiLevelType w:val="singleLevel"/>
    <w:tmpl w:val="8DF45214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75B09B2"/>
    <w:multiLevelType w:val="hybridMultilevel"/>
    <w:tmpl w:val="D92020E6"/>
    <w:lvl w:ilvl="0" w:tplc="12A250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477173"/>
    <w:multiLevelType w:val="hybridMultilevel"/>
    <w:tmpl w:val="3B1279B8"/>
    <w:lvl w:ilvl="0" w:tplc="CF06C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E53901"/>
    <w:multiLevelType w:val="hybridMultilevel"/>
    <w:tmpl w:val="21DEC35A"/>
    <w:lvl w:ilvl="0" w:tplc="CF06C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9536783"/>
    <w:multiLevelType w:val="singleLevel"/>
    <w:tmpl w:val="C2EAF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6A7F6940"/>
    <w:multiLevelType w:val="hybridMultilevel"/>
    <w:tmpl w:val="6E820072"/>
    <w:lvl w:ilvl="0" w:tplc="87042B88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F860A9"/>
    <w:multiLevelType w:val="hybridMultilevel"/>
    <w:tmpl w:val="1C22C932"/>
    <w:lvl w:ilvl="0" w:tplc="CF06CB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DB5A06"/>
    <w:multiLevelType w:val="hybridMultilevel"/>
    <w:tmpl w:val="5BEE0C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8536A34"/>
    <w:multiLevelType w:val="singleLevel"/>
    <w:tmpl w:val="68F609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C2890"/>
    <w:rsid w:val="00031AE1"/>
    <w:rsid w:val="002C250D"/>
    <w:rsid w:val="002D575E"/>
    <w:rsid w:val="003107D5"/>
    <w:rsid w:val="00424682"/>
    <w:rsid w:val="00434F5D"/>
    <w:rsid w:val="004C2890"/>
    <w:rsid w:val="008E74B6"/>
    <w:rsid w:val="00947514"/>
    <w:rsid w:val="00992D4F"/>
    <w:rsid w:val="00A44A60"/>
    <w:rsid w:val="00B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90"/>
    <w:pPr>
      <w:spacing w:after="0" w:line="240" w:lineRule="auto"/>
    </w:pPr>
    <w:rPr>
      <w:rFonts w:eastAsia="Times New Roman" w:cs="Times New Roman"/>
      <w:sz w:val="22"/>
      <w:szCs w:val="20"/>
    </w:rPr>
  </w:style>
  <w:style w:type="paragraph" w:styleId="Heading1">
    <w:name w:val="heading 1"/>
    <w:aliases w:val="Heading 1A,Heading A1"/>
    <w:next w:val="BodyText"/>
    <w:link w:val="Heading1Char"/>
    <w:qFormat/>
    <w:rsid w:val="004C2890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A Char,Heading A1 Char"/>
    <w:basedOn w:val="DefaultParagraphFont"/>
    <w:link w:val="Heading1"/>
    <w:rsid w:val="004C2890"/>
    <w:rPr>
      <w:rFonts w:ascii="Arial" w:eastAsia="Times New Roman" w:hAnsi="Arial" w:cs="Times New Roman"/>
      <w:b/>
      <w:kern w:val="28"/>
      <w:szCs w:val="20"/>
      <w:u w:val="single"/>
    </w:rPr>
  </w:style>
  <w:style w:type="paragraph" w:customStyle="1" w:styleId="Outline1">
    <w:name w:val="Outline 1"/>
    <w:rsid w:val="004C2890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0" w:line="240" w:lineRule="auto"/>
      <w:ind w:left="720" w:hanging="720"/>
      <w:outlineLvl w:val="0"/>
    </w:pPr>
    <w:rPr>
      <w:rFonts w:eastAsia="Times New Roman" w:cs="Times New Roman"/>
      <w:sz w:val="22"/>
      <w:szCs w:val="20"/>
    </w:rPr>
  </w:style>
  <w:style w:type="paragraph" w:customStyle="1" w:styleId="Outline2">
    <w:name w:val="Outline 2"/>
    <w:basedOn w:val="Outline1"/>
    <w:rsid w:val="004C2890"/>
    <w:pPr>
      <w:ind w:left="1080" w:hanging="360"/>
      <w:outlineLvl w:val="1"/>
    </w:pPr>
  </w:style>
  <w:style w:type="paragraph" w:customStyle="1" w:styleId="Outline3">
    <w:name w:val="Outline 3"/>
    <w:basedOn w:val="Outline1"/>
    <w:rsid w:val="004C2890"/>
    <w:pPr>
      <w:ind w:left="1440" w:hanging="360"/>
      <w:outlineLvl w:val="2"/>
    </w:pPr>
  </w:style>
  <w:style w:type="paragraph" w:customStyle="1" w:styleId="Outline4">
    <w:name w:val="Outline 4"/>
    <w:basedOn w:val="Outline1"/>
    <w:rsid w:val="004C2890"/>
    <w:pPr>
      <w:tabs>
        <w:tab w:val="left" w:pos="3600"/>
      </w:tabs>
      <w:ind w:left="1800" w:hanging="360"/>
      <w:outlineLvl w:val="3"/>
    </w:pPr>
  </w:style>
  <w:style w:type="paragraph" w:customStyle="1" w:styleId="Outline5">
    <w:name w:val="Outline 5"/>
    <w:basedOn w:val="Outline1"/>
    <w:rsid w:val="004C2890"/>
    <w:pPr>
      <w:tabs>
        <w:tab w:val="left" w:pos="0"/>
        <w:tab w:val="left" w:pos="600"/>
        <w:tab w:val="left" w:pos="1560"/>
        <w:tab w:val="left" w:pos="2040"/>
      </w:tabs>
      <w:suppressAutoHyphens/>
      <w:ind w:left="2160" w:hanging="360"/>
      <w:outlineLvl w:val="4"/>
    </w:pPr>
  </w:style>
  <w:style w:type="paragraph" w:styleId="BodyText">
    <w:name w:val="Body Text"/>
    <w:basedOn w:val="Normal"/>
    <w:link w:val="BodyTextChar"/>
    <w:uiPriority w:val="99"/>
    <w:semiHidden/>
    <w:unhideWhenUsed/>
    <w:rsid w:val="004C28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2890"/>
    <w:rPr>
      <w:rFonts w:eastAsia="Times New Roman" w:cs="Times New Roman"/>
      <w:sz w:val="22"/>
      <w:szCs w:val="20"/>
    </w:rPr>
  </w:style>
  <w:style w:type="paragraph" w:customStyle="1" w:styleId="chapternumber">
    <w:name w:val="chapter number"/>
    <w:basedOn w:val="Normal"/>
    <w:next w:val="Normal"/>
    <w:rsid w:val="004C2890"/>
    <w:pPr>
      <w:pageBreakBefore/>
      <w:jc w:val="right"/>
    </w:pPr>
    <w:rPr>
      <w:rFonts w:ascii="Arial" w:hAnsi="Arial"/>
      <w:b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1991</Words>
  <Characters>11351</Characters>
  <Application>Microsoft Office Word</Application>
  <DocSecurity>0</DocSecurity>
  <Lines>94</Lines>
  <Paragraphs>26</Paragraphs>
  <ScaleCrop>false</ScaleCrop>
  <Company/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Zeliff</dc:creator>
  <cp:lastModifiedBy>Nathan Zeliff</cp:lastModifiedBy>
  <cp:revision>2</cp:revision>
  <dcterms:created xsi:type="dcterms:W3CDTF">2021-10-30T17:45:00Z</dcterms:created>
  <dcterms:modified xsi:type="dcterms:W3CDTF">2021-10-30T17:45:00Z</dcterms:modified>
</cp:coreProperties>
</file>