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E75" w:rsidRPr="005473AB" w:rsidRDefault="00DE4E75" w:rsidP="00DE4E75">
      <w:pPr>
        <w:pStyle w:val="TableBody"/>
        <w:jc w:val="center"/>
        <w:rPr>
          <w:b/>
          <w:caps/>
          <w:sz w:val="26"/>
        </w:rPr>
      </w:pPr>
      <w:r>
        <w:rPr>
          <w:rFonts w:ascii="Arial" w:hAnsi="Arial"/>
          <w:b/>
          <w:sz w:val="26"/>
        </w:rPr>
        <w:t>Chapter 11 A</w:t>
      </w:r>
      <w:r w:rsidRPr="00B80CEF">
        <w:rPr>
          <w:rFonts w:ascii="Arial" w:hAnsi="Arial"/>
          <w:b/>
          <w:sz w:val="26"/>
        </w:rPr>
        <w:t>lternate Demonstration Problem #1</w:t>
      </w:r>
    </w:p>
    <w:p w:rsidR="00DE4E75" w:rsidRDefault="00DE4E75" w:rsidP="00DE4E75">
      <w:pPr>
        <w:pStyle w:val="tableheadscenter"/>
      </w:pPr>
    </w:p>
    <w:p w:rsidR="00DE4E75" w:rsidRDefault="00DE4E75" w:rsidP="00DE4E75">
      <w:pPr>
        <w:pStyle w:val="BodyText"/>
        <w:rPr>
          <w:rFonts w:ascii="Arial" w:hAnsi="Arial"/>
          <w:b/>
          <w:sz w:val="26"/>
        </w:rPr>
      </w:pPr>
      <w:r>
        <w:rPr>
          <w:rFonts w:ascii="Arial" w:hAnsi="Arial"/>
          <w:b/>
          <w:sz w:val="26"/>
        </w:rPr>
        <w:t>Uzi Company received a charter granting the right to issue 200,000 shares of $1 par value common stock and 10,000 shares of 8% cumulative and nonparticipating, $50 par value preferred stock that is callable at $80 per share. Selected transactions are presented below.</w:t>
      </w:r>
    </w:p>
    <w:tbl>
      <w:tblPr>
        <w:tblW w:w="0" w:type="auto"/>
        <w:tblLayout w:type="fixed"/>
        <w:tblLook w:val="0000"/>
      </w:tblPr>
      <w:tblGrid>
        <w:gridCol w:w="994"/>
        <w:gridCol w:w="650"/>
        <w:gridCol w:w="8256"/>
      </w:tblGrid>
      <w:tr w:rsidR="00DE4E75" w:rsidTr="00E51190">
        <w:tc>
          <w:tcPr>
            <w:tcW w:w="994" w:type="dxa"/>
          </w:tcPr>
          <w:p w:rsidR="00DE4E75" w:rsidRDefault="00DE4E75" w:rsidP="00E51190">
            <w:pPr>
              <w:pStyle w:val="TableBody"/>
              <w:rPr>
                <w:rFonts w:ascii="Arial" w:hAnsi="Arial"/>
                <w:b/>
                <w:sz w:val="26"/>
                <w:u w:val="single"/>
              </w:rPr>
            </w:pPr>
            <w:r>
              <w:rPr>
                <w:rFonts w:ascii="Arial" w:hAnsi="Arial"/>
                <w:b/>
                <w:sz w:val="26"/>
                <w:u w:val="single"/>
              </w:rPr>
              <w:t>2021</w:t>
            </w:r>
          </w:p>
        </w:tc>
        <w:tc>
          <w:tcPr>
            <w:tcW w:w="650" w:type="dxa"/>
          </w:tcPr>
          <w:p w:rsidR="00DE4E75" w:rsidRDefault="00DE4E75" w:rsidP="00E51190">
            <w:pPr>
              <w:pStyle w:val="TableBody"/>
              <w:rPr>
                <w:rFonts w:ascii="Arial" w:hAnsi="Arial"/>
                <w:b/>
                <w:sz w:val="26"/>
              </w:rPr>
            </w:pPr>
          </w:p>
        </w:tc>
        <w:tc>
          <w:tcPr>
            <w:tcW w:w="8256" w:type="dxa"/>
          </w:tcPr>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Feb.</w:t>
            </w:r>
          </w:p>
        </w:tc>
        <w:tc>
          <w:tcPr>
            <w:tcW w:w="650" w:type="dxa"/>
          </w:tcPr>
          <w:p w:rsidR="00DE4E75" w:rsidRDefault="00DE4E75" w:rsidP="00E51190">
            <w:pPr>
              <w:pStyle w:val="TableBody"/>
              <w:rPr>
                <w:rFonts w:ascii="Arial" w:hAnsi="Arial"/>
                <w:b/>
                <w:sz w:val="26"/>
              </w:rPr>
            </w:pPr>
            <w:r>
              <w:rPr>
                <w:rFonts w:ascii="Arial" w:hAnsi="Arial"/>
                <w:b/>
                <w:sz w:val="26"/>
              </w:rPr>
              <w:t>19</w:t>
            </w:r>
          </w:p>
        </w:tc>
        <w:tc>
          <w:tcPr>
            <w:tcW w:w="8256" w:type="dxa"/>
          </w:tcPr>
          <w:p w:rsidR="00DE4E75" w:rsidRDefault="00DE4E75" w:rsidP="00E51190">
            <w:pPr>
              <w:pStyle w:val="TableBody"/>
              <w:rPr>
                <w:rFonts w:ascii="Arial" w:hAnsi="Arial"/>
                <w:b/>
                <w:sz w:val="26"/>
              </w:rPr>
            </w:pPr>
            <w:r>
              <w:rPr>
                <w:rFonts w:ascii="Arial" w:hAnsi="Arial"/>
                <w:b/>
                <w:sz w:val="26"/>
              </w:rPr>
              <w:t>Issued 45,000 shares of common stock at par for cash.</w:t>
            </w:r>
          </w:p>
        </w:tc>
      </w:tr>
      <w:tr w:rsidR="00DE4E75" w:rsidTr="00E51190">
        <w:tc>
          <w:tcPr>
            <w:tcW w:w="99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8256" w:type="dxa"/>
          </w:tcPr>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r>
              <w:rPr>
                <w:rFonts w:ascii="Arial" w:hAnsi="Arial"/>
                <w:b/>
                <w:sz w:val="26"/>
              </w:rPr>
              <w:t>22</w:t>
            </w:r>
          </w:p>
        </w:tc>
        <w:tc>
          <w:tcPr>
            <w:tcW w:w="8256" w:type="dxa"/>
          </w:tcPr>
          <w:p w:rsidR="00DE4E75" w:rsidRDefault="00DE4E75" w:rsidP="00E51190">
            <w:pPr>
              <w:pStyle w:val="TableBody"/>
              <w:rPr>
                <w:rFonts w:ascii="Arial" w:hAnsi="Arial"/>
                <w:b/>
                <w:sz w:val="26"/>
              </w:rPr>
            </w:pPr>
            <w:r>
              <w:rPr>
                <w:rFonts w:ascii="Arial" w:hAnsi="Arial"/>
                <w:b/>
                <w:sz w:val="26"/>
              </w:rPr>
              <w:t>Gave the corporation’s promoters 30,000 shares of common stock for their services in getting the corporation organized. The directors valued the services at $50,000.</w:t>
            </w:r>
          </w:p>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Mar</w:t>
            </w:r>
          </w:p>
        </w:tc>
        <w:tc>
          <w:tcPr>
            <w:tcW w:w="650" w:type="dxa"/>
          </w:tcPr>
          <w:p w:rsidR="00DE4E75" w:rsidRDefault="00DE4E75" w:rsidP="00E51190">
            <w:pPr>
              <w:pStyle w:val="TableBody"/>
              <w:rPr>
                <w:rFonts w:ascii="Arial" w:hAnsi="Arial"/>
                <w:b/>
                <w:sz w:val="26"/>
              </w:rPr>
            </w:pPr>
            <w:r>
              <w:rPr>
                <w:rFonts w:ascii="Arial" w:hAnsi="Arial"/>
                <w:b/>
                <w:sz w:val="26"/>
              </w:rPr>
              <w:t>30</w:t>
            </w:r>
          </w:p>
        </w:tc>
        <w:tc>
          <w:tcPr>
            <w:tcW w:w="8256" w:type="dxa"/>
          </w:tcPr>
          <w:p w:rsidR="00DE4E75" w:rsidRDefault="00DE4E75" w:rsidP="00E51190">
            <w:pPr>
              <w:pStyle w:val="TableBody"/>
              <w:rPr>
                <w:rFonts w:ascii="Arial" w:hAnsi="Arial"/>
                <w:b/>
                <w:sz w:val="26"/>
              </w:rPr>
            </w:pPr>
            <w:r>
              <w:rPr>
                <w:rFonts w:ascii="Arial" w:hAnsi="Arial"/>
                <w:b/>
                <w:sz w:val="26"/>
              </w:rPr>
              <w:t>Exchanged 100,000 shares of common stock for the following assets at fair market values: land, $25,000; building, $100,000; and machinery, $125,000.</w:t>
            </w:r>
          </w:p>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Dec.</w:t>
            </w:r>
          </w:p>
        </w:tc>
        <w:tc>
          <w:tcPr>
            <w:tcW w:w="650" w:type="dxa"/>
          </w:tcPr>
          <w:p w:rsidR="00DE4E75" w:rsidRDefault="00DE4E75" w:rsidP="00E51190">
            <w:pPr>
              <w:pStyle w:val="TableBody"/>
              <w:rPr>
                <w:rFonts w:ascii="Arial" w:hAnsi="Arial"/>
                <w:b/>
                <w:sz w:val="26"/>
              </w:rPr>
            </w:pPr>
            <w:r>
              <w:rPr>
                <w:rFonts w:ascii="Arial" w:hAnsi="Arial"/>
                <w:b/>
                <w:sz w:val="26"/>
              </w:rPr>
              <w:t>31</w:t>
            </w:r>
          </w:p>
        </w:tc>
        <w:tc>
          <w:tcPr>
            <w:tcW w:w="8256" w:type="dxa"/>
          </w:tcPr>
          <w:p w:rsidR="00DE4E75" w:rsidRDefault="00DE4E75" w:rsidP="00E51190">
            <w:pPr>
              <w:pStyle w:val="TableBody"/>
              <w:rPr>
                <w:rFonts w:ascii="Arial" w:hAnsi="Arial"/>
                <w:b/>
                <w:sz w:val="26"/>
              </w:rPr>
            </w:pPr>
            <w:r>
              <w:rPr>
                <w:rFonts w:ascii="Arial" w:hAnsi="Arial"/>
                <w:b/>
                <w:sz w:val="26"/>
              </w:rPr>
              <w:t xml:space="preserve">Closed the Income Summary account. A $25,000 loss was incurred. </w:t>
            </w:r>
          </w:p>
        </w:tc>
      </w:tr>
      <w:tr w:rsidR="00DE4E75" w:rsidTr="00E51190">
        <w:tc>
          <w:tcPr>
            <w:tcW w:w="994" w:type="dxa"/>
          </w:tcPr>
          <w:p w:rsidR="00DE4E75" w:rsidRDefault="00DE4E75" w:rsidP="00E51190">
            <w:pPr>
              <w:pStyle w:val="TableBody"/>
              <w:rPr>
                <w:rFonts w:ascii="Arial" w:hAnsi="Arial"/>
                <w:b/>
                <w:sz w:val="26"/>
                <w:u w:val="single"/>
              </w:rPr>
            </w:pPr>
            <w:r>
              <w:rPr>
                <w:rFonts w:ascii="Arial" w:hAnsi="Arial"/>
                <w:b/>
                <w:sz w:val="26"/>
                <w:u w:val="single"/>
              </w:rPr>
              <w:t>2022</w:t>
            </w:r>
          </w:p>
        </w:tc>
        <w:tc>
          <w:tcPr>
            <w:tcW w:w="650" w:type="dxa"/>
          </w:tcPr>
          <w:p w:rsidR="00DE4E75" w:rsidRDefault="00DE4E75" w:rsidP="00E51190">
            <w:pPr>
              <w:pStyle w:val="TableBody"/>
              <w:rPr>
                <w:rFonts w:ascii="Arial" w:hAnsi="Arial"/>
                <w:b/>
                <w:sz w:val="26"/>
              </w:rPr>
            </w:pPr>
          </w:p>
        </w:tc>
        <w:tc>
          <w:tcPr>
            <w:tcW w:w="8256" w:type="dxa"/>
          </w:tcPr>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 xml:space="preserve">Jan. </w:t>
            </w:r>
          </w:p>
        </w:tc>
        <w:tc>
          <w:tcPr>
            <w:tcW w:w="650" w:type="dxa"/>
          </w:tcPr>
          <w:p w:rsidR="00DE4E75" w:rsidRDefault="00DE4E75" w:rsidP="00E51190">
            <w:pPr>
              <w:pStyle w:val="TableBody"/>
              <w:rPr>
                <w:rFonts w:ascii="Arial" w:hAnsi="Arial"/>
                <w:b/>
                <w:sz w:val="26"/>
              </w:rPr>
            </w:pPr>
            <w:r>
              <w:rPr>
                <w:rFonts w:ascii="Arial" w:hAnsi="Arial"/>
                <w:b/>
                <w:sz w:val="26"/>
              </w:rPr>
              <w:t>12</w:t>
            </w:r>
          </w:p>
        </w:tc>
        <w:tc>
          <w:tcPr>
            <w:tcW w:w="8256" w:type="dxa"/>
          </w:tcPr>
          <w:p w:rsidR="00DE4E75" w:rsidRDefault="00DE4E75" w:rsidP="00E51190">
            <w:pPr>
              <w:pStyle w:val="TableBody"/>
              <w:rPr>
                <w:rFonts w:ascii="Arial" w:hAnsi="Arial"/>
                <w:b/>
                <w:sz w:val="26"/>
              </w:rPr>
            </w:pPr>
            <w:r>
              <w:rPr>
                <w:rFonts w:ascii="Arial" w:hAnsi="Arial"/>
                <w:b/>
                <w:sz w:val="26"/>
              </w:rPr>
              <w:t>Issued 1,000 shares of preferred stock at $75 per share.</w:t>
            </w:r>
          </w:p>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Dec.</w:t>
            </w:r>
          </w:p>
        </w:tc>
        <w:tc>
          <w:tcPr>
            <w:tcW w:w="650" w:type="dxa"/>
          </w:tcPr>
          <w:p w:rsidR="00DE4E75" w:rsidRDefault="00DE4E75" w:rsidP="00E51190">
            <w:pPr>
              <w:pStyle w:val="TableBody"/>
              <w:rPr>
                <w:rFonts w:ascii="Arial" w:hAnsi="Arial"/>
                <w:b/>
                <w:sz w:val="26"/>
              </w:rPr>
            </w:pPr>
            <w:r>
              <w:rPr>
                <w:rFonts w:ascii="Arial" w:hAnsi="Arial"/>
                <w:b/>
                <w:sz w:val="26"/>
              </w:rPr>
              <w:t>15</w:t>
            </w:r>
          </w:p>
        </w:tc>
        <w:tc>
          <w:tcPr>
            <w:tcW w:w="8256" w:type="dxa"/>
          </w:tcPr>
          <w:p w:rsidR="00DE4E75" w:rsidRDefault="00DE4E75" w:rsidP="00E51190">
            <w:pPr>
              <w:pStyle w:val="TableBody"/>
              <w:rPr>
                <w:rFonts w:ascii="Arial" w:hAnsi="Arial"/>
                <w:b/>
                <w:sz w:val="26"/>
              </w:rPr>
            </w:pPr>
            <w:r>
              <w:rPr>
                <w:rFonts w:ascii="Arial" w:hAnsi="Arial"/>
                <w:b/>
                <w:sz w:val="26"/>
              </w:rPr>
              <w:t>The board of directors declared an 8% dividend on preferred shares and $0.10 per share on outstanding common shares, payable on January 31 to the January 17 stockholders of record.</w:t>
            </w:r>
          </w:p>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r>
              <w:rPr>
                <w:rFonts w:ascii="Arial" w:hAnsi="Arial"/>
                <w:b/>
                <w:sz w:val="26"/>
              </w:rPr>
              <w:t>31</w:t>
            </w:r>
          </w:p>
        </w:tc>
        <w:tc>
          <w:tcPr>
            <w:tcW w:w="8256" w:type="dxa"/>
          </w:tcPr>
          <w:p w:rsidR="00DE4E75" w:rsidRDefault="00DE4E75" w:rsidP="00E51190">
            <w:pPr>
              <w:pStyle w:val="TableBody"/>
              <w:rPr>
                <w:rFonts w:ascii="Arial" w:hAnsi="Arial"/>
                <w:b/>
                <w:sz w:val="26"/>
              </w:rPr>
            </w:pPr>
            <w:r>
              <w:rPr>
                <w:rFonts w:ascii="Arial" w:hAnsi="Arial"/>
                <w:b/>
                <w:sz w:val="26"/>
              </w:rPr>
              <w:t>Closed the Income Summary account. A $69,000 net income was earned.</w:t>
            </w:r>
          </w:p>
        </w:tc>
      </w:tr>
      <w:tr w:rsidR="00DE4E75" w:rsidTr="00E51190">
        <w:tc>
          <w:tcPr>
            <w:tcW w:w="994" w:type="dxa"/>
          </w:tcPr>
          <w:p w:rsidR="00DE4E75" w:rsidRDefault="00DE4E75" w:rsidP="00E51190">
            <w:pPr>
              <w:pStyle w:val="TableBody"/>
              <w:rPr>
                <w:rFonts w:ascii="Arial" w:hAnsi="Arial"/>
                <w:b/>
                <w:sz w:val="26"/>
                <w:u w:val="single"/>
              </w:rPr>
            </w:pPr>
            <w:r>
              <w:rPr>
                <w:rFonts w:ascii="Arial" w:hAnsi="Arial"/>
                <w:b/>
                <w:sz w:val="26"/>
                <w:u w:val="single"/>
              </w:rPr>
              <w:t>2023</w:t>
            </w:r>
          </w:p>
        </w:tc>
        <w:tc>
          <w:tcPr>
            <w:tcW w:w="650" w:type="dxa"/>
          </w:tcPr>
          <w:p w:rsidR="00DE4E75" w:rsidRDefault="00DE4E75" w:rsidP="00E51190">
            <w:pPr>
              <w:pStyle w:val="TableBody"/>
              <w:rPr>
                <w:rFonts w:ascii="Arial" w:hAnsi="Arial"/>
                <w:b/>
                <w:sz w:val="26"/>
              </w:rPr>
            </w:pPr>
          </w:p>
        </w:tc>
        <w:tc>
          <w:tcPr>
            <w:tcW w:w="8256" w:type="dxa"/>
          </w:tcPr>
          <w:p w:rsidR="00DE4E75" w:rsidRDefault="00DE4E75" w:rsidP="00E51190">
            <w:pPr>
              <w:pStyle w:val="TableBody"/>
              <w:rPr>
                <w:rFonts w:ascii="Arial" w:hAnsi="Arial"/>
                <w:b/>
                <w:sz w:val="26"/>
              </w:rPr>
            </w:pPr>
          </w:p>
        </w:tc>
      </w:tr>
      <w:tr w:rsidR="00DE4E75" w:rsidTr="00E51190">
        <w:tc>
          <w:tcPr>
            <w:tcW w:w="994" w:type="dxa"/>
          </w:tcPr>
          <w:p w:rsidR="00DE4E75" w:rsidRDefault="00DE4E75" w:rsidP="00E51190">
            <w:pPr>
              <w:pStyle w:val="TableBody"/>
              <w:rPr>
                <w:rFonts w:ascii="Arial" w:hAnsi="Arial"/>
                <w:b/>
                <w:sz w:val="26"/>
              </w:rPr>
            </w:pPr>
            <w:r>
              <w:rPr>
                <w:rFonts w:ascii="Arial" w:hAnsi="Arial"/>
                <w:b/>
                <w:sz w:val="26"/>
              </w:rPr>
              <w:t>Jan.</w:t>
            </w:r>
          </w:p>
        </w:tc>
        <w:tc>
          <w:tcPr>
            <w:tcW w:w="650" w:type="dxa"/>
          </w:tcPr>
          <w:p w:rsidR="00DE4E75" w:rsidRDefault="00DE4E75" w:rsidP="00E51190">
            <w:pPr>
              <w:pStyle w:val="TableBody"/>
              <w:rPr>
                <w:rFonts w:ascii="Arial" w:hAnsi="Arial"/>
                <w:b/>
                <w:sz w:val="26"/>
              </w:rPr>
            </w:pPr>
            <w:r>
              <w:rPr>
                <w:rFonts w:ascii="Arial" w:hAnsi="Arial"/>
                <w:b/>
                <w:sz w:val="26"/>
              </w:rPr>
              <w:t>31</w:t>
            </w:r>
          </w:p>
        </w:tc>
        <w:tc>
          <w:tcPr>
            <w:tcW w:w="8256" w:type="dxa"/>
          </w:tcPr>
          <w:p w:rsidR="00DE4E75" w:rsidRDefault="00DE4E75" w:rsidP="00E51190">
            <w:pPr>
              <w:pStyle w:val="TableBody"/>
              <w:rPr>
                <w:rFonts w:ascii="Arial" w:hAnsi="Arial"/>
                <w:b/>
                <w:sz w:val="26"/>
              </w:rPr>
            </w:pPr>
            <w:r>
              <w:rPr>
                <w:rFonts w:ascii="Arial" w:hAnsi="Arial"/>
                <w:b/>
                <w:sz w:val="26"/>
              </w:rPr>
              <w:t>Paid the previously declared dividends.</w:t>
            </w:r>
          </w:p>
        </w:tc>
      </w:tr>
    </w:tbl>
    <w:p w:rsidR="00DE4E75" w:rsidRDefault="00DE4E75" w:rsidP="00DE4E75">
      <w:pPr>
        <w:pStyle w:val="TableBody"/>
        <w:rPr>
          <w:rFonts w:ascii="Arial" w:hAnsi="Arial"/>
        </w:rPr>
      </w:pPr>
    </w:p>
    <w:p w:rsidR="00DE4E75" w:rsidRDefault="00DE4E75" w:rsidP="00DE4E75">
      <w:pPr>
        <w:pStyle w:val="BodyText"/>
        <w:rPr>
          <w:rFonts w:ascii="Arial" w:hAnsi="Arial"/>
          <w:b/>
          <w:sz w:val="26"/>
        </w:rPr>
      </w:pPr>
      <w:r>
        <w:rPr>
          <w:rFonts w:ascii="Arial" w:hAnsi="Arial"/>
          <w:b/>
          <w:sz w:val="26"/>
        </w:rPr>
        <w:t>Required:</w:t>
      </w:r>
    </w:p>
    <w:p w:rsidR="00DE4E75" w:rsidRDefault="00DE4E75" w:rsidP="00DE4E75">
      <w:pPr>
        <w:pStyle w:val="ListNumber"/>
        <w:ind w:left="0" w:firstLine="0"/>
        <w:rPr>
          <w:rFonts w:ascii="Arial" w:hAnsi="Arial"/>
          <w:b/>
          <w:sz w:val="26"/>
        </w:rPr>
      </w:pPr>
      <w:r>
        <w:rPr>
          <w:rFonts w:ascii="Arial" w:hAnsi="Arial"/>
          <w:b/>
          <w:sz w:val="26"/>
        </w:rPr>
        <w:t>1.</w:t>
      </w:r>
      <w:r>
        <w:rPr>
          <w:rFonts w:ascii="Arial" w:hAnsi="Arial"/>
          <w:b/>
          <w:sz w:val="26"/>
        </w:rPr>
        <w:tab/>
        <w:t>Prepare general journal entries to record the selected transactions.</w:t>
      </w:r>
    </w:p>
    <w:p w:rsidR="00DE4E75" w:rsidRDefault="00DE4E75" w:rsidP="00DE4E75">
      <w:pPr>
        <w:pStyle w:val="ListNumber"/>
        <w:ind w:left="720" w:hanging="720"/>
        <w:rPr>
          <w:rFonts w:ascii="Arial" w:hAnsi="Arial"/>
          <w:b/>
          <w:sz w:val="26"/>
        </w:rPr>
      </w:pPr>
      <w:r>
        <w:rPr>
          <w:rFonts w:ascii="Arial" w:hAnsi="Arial"/>
          <w:b/>
          <w:sz w:val="26"/>
        </w:rPr>
        <w:t>2.</w:t>
      </w:r>
      <w:r>
        <w:rPr>
          <w:rFonts w:ascii="Arial" w:hAnsi="Arial"/>
          <w:b/>
          <w:sz w:val="26"/>
        </w:rPr>
        <w:tab/>
        <w:t>Prepare a stockholders’ equity section as of the close of business on December 31, 2022.</w:t>
      </w:r>
    </w:p>
    <w:p w:rsidR="00DE4E75" w:rsidRDefault="00DE4E75" w:rsidP="00DE4E75">
      <w:pPr>
        <w:pStyle w:val="tableheadscenter"/>
        <w:rPr>
          <w:sz w:val="26"/>
        </w:rPr>
      </w:pPr>
      <w:r>
        <w:br w:type="page"/>
      </w:r>
      <w:r w:rsidRPr="006237C8">
        <w:rPr>
          <w:sz w:val="26"/>
        </w:rPr>
        <w:lastRenderedPageBreak/>
        <w:t>Chapter 1</w:t>
      </w:r>
      <w:r>
        <w:rPr>
          <w:sz w:val="26"/>
        </w:rPr>
        <w:t>1</w:t>
      </w:r>
      <w:r>
        <w:t xml:space="preserve"> </w:t>
      </w:r>
      <w:r>
        <w:rPr>
          <w:sz w:val="26"/>
        </w:rPr>
        <w:t>Solution:  Alternate Demonstration Problem #1</w:t>
      </w:r>
    </w:p>
    <w:p w:rsidR="00DE4E75" w:rsidRDefault="00DE4E75" w:rsidP="00DE4E75">
      <w:pPr>
        <w:pStyle w:val="tableheadscenter"/>
        <w:rPr>
          <w:sz w:val="26"/>
        </w:rPr>
      </w:pPr>
    </w:p>
    <w:tbl>
      <w:tblPr>
        <w:tblW w:w="0" w:type="auto"/>
        <w:tblLayout w:type="fixed"/>
        <w:tblLook w:val="0000"/>
      </w:tblPr>
      <w:tblGrid>
        <w:gridCol w:w="950"/>
        <w:gridCol w:w="720"/>
        <w:gridCol w:w="5299"/>
        <w:gridCol w:w="1191"/>
        <w:gridCol w:w="1191"/>
      </w:tblGrid>
      <w:tr w:rsidR="00DE4E75" w:rsidTr="00E51190">
        <w:tc>
          <w:tcPr>
            <w:tcW w:w="950" w:type="dxa"/>
          </w:tcPr>
          <w:p w:rsidR="00DE4E75" w:rsidRDefault="00DE4E75" w:rsidP="00E51190">
            <w:pPr>
              <w:pStyle w:val="TableBody"/>
              <w:rPr>
                <w:rFonts w:ascii="Arial" w:hAnsi="Arial"/>
                <w:b/>
                <w:i/>
                <w:sz w:val="26"/>
              </w:rPr>
            </w:pPr>
            <w:r>
              <w:rPr>
                <w:rFonts w:ascii="Arial" w:hAnsi="Arial"/>
                <w:b/>
                <w:i/>
                <w:sz w:val="26"/>
              </w:rPr>
              <w:t>Part 1</w:t>
            </w: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rPr>
                <w:rFonts w:ascii="Arial" w:hAnsi="Arial"/>
                <w:b/>
                <w:sz w:val="26"/>
                <w:u w:val="single"/>
              </w:rPr>
            </w:pPr>
            <w:r>
              <w:rPr>
                <w:rFonts w:ascii="Arial" w:hAnsi="Arial"/>
                <w:b/>
                <w:sz w:val="26"/>
                <w:u w:val="single"/>
              </w:rPr>
              <w:t>2021</w:t>
            </w: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Feb.</w:t>
            </w:r>
          </w:p>
        </w:tc>
        <w:tc>
          <w:tcPr>
            <w:tcW w:w="720" w:type="dxa"/>
          </w:tcPr>
          <w:p w:rsidR="00DE4E75" w:rsidRDefault="00DE4E75" w:rsidP="00E51190">
            <w:pPr>
              <w:pStyle w:val="TableBody"/>
              <w:rPr>
                <w:rFonts w:ascii="Arial" w:hAnsi="Arial"/>
                <w:b/>
                <w:sz w:val="26"/>
              </w:rPr>
            </w:pPr>
            <w:r>
              <w:rPr>
                <w:rFonts w:ascii="Arial" w:hAnsi="Arial"/>
                <w:b/>
                <w:sz w:val="26"/>
              </w:rPr>
              <w:t>19</w:t>
            </w:r>
          </w:p>
        </w:tc>
        <w:tc>
          <w:tcPr>
            <w:tcW w:w="5299" w:type="dxa"/>
          </w:tcPr>
          <w:p w:rsidR="00DE4E75" w:rsidRDefault="00DE4E75" w:rsidP="00E51190">
            <w:pPr>
              <w:pStyle w:val="TableBody"/>
              <w:tabs>
                <w:tab w:val="right" w:leader="dot" w:pos="5112"/>
              </w:tabs>
              <w:rPr>
                <w:rFonts w:ascii="Arial" w:hAnsi="Arial"/>
                <w:b/>
                <w:sz w:val="26"/>
              </w:rPr>
            </w:pPr>
            <w:r>
              <w:rPr>
                <w:rFonts w:ascii="Arial" w:hAnsi="Arial"/>
                <w:b/>
                <w:sz w:val="26"/>
              </w:rPr>
              <w:t>Cash</w:t>
            </w:r>
            <w:r>
              <w:rPr>
                <w:rFonts w:ascii="Arial" w:hAnsi="Arial"/>
                <w:b/>
                <w:sz w:val="26"/>
              </w:rPr>
              <w:tab/>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45,000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Common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45,000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r>
              <w:rPr>
                <w:rFonts w:ascii="Arial" w:hAnsi="Arial"/>
                <w:b/>
                <w:sz w:val="26"/>
              </w:rPr>
              <w:t>22</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Organizational Expense</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50,000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Common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30,000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Paid-In Capital in Excess of Par</w:t>
            </w:r>
            <w:r>
              <w:rPr>
                <w:rFonts w:ascii="Arial" w:hAnsi="Arial"/>
                <w:b/>
                <w:sz w:val="26"/>
              </w:rPr>
              <w:br/>
            </w:r>
            <w:r>
              <w:rPr>
                <w:rFonts w:ascii="Arial" w:hAnsi="Arial"/>
                <w:b/>
                <w:sz w:val="26"/>
              </w:rPr>
              <w:tab/>
            </w:r>
            <w:r>
              <w:rPr>
                <w:rFonts w:ascii="Arial" w:hAnsi="Arial"/>
                <w:b/>
                <w:sz w:val="26"/>
              </w:rPr>
              <w:tab/>
              <w:t>Value, Common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br/>
              <w:t>20,000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Mar.</w:t>
            </w:r>
          </w:p>
        </w:tc>
        <w:tc>
          <w:tcPr>
            <w:tcW w:w="720" w:type="dxa"/>
          </w:tcPr>
          <w:p w:rsidR="00DE4E75" w:rsidRDefault="00DE4E75" w:rsidP="00E51190">
            <w:pPr>
              <w:pStyle w:val="TableBody"/>
              <w:rPr>
                <w:rFonts w:ascii="Arial" w:hAnsi="Arial"/>
                <w:b/>
                <w:sz w:val="26"/>
              </w:rPr>
            </w:pPr>
            <w:r>
              <w:rPr>
                <w:rFonts w:ascii="Arial" w:hAnsi="Arial"/>
                <w:b/>
                <w:sz w:val="26"/>
              </w:rPr>
              <w:t>30</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Land</w:t>
            </w:r>
            <w:r>
              <w:rPr>
                <w:rFonts w:ascii="Arial" w:hAnsi="Arial"/>
                <w:b/>
                <w:sz w:val="26"/>
              </w:rPr>
              <w:tab/>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25,000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Buildings</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100,000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Machinery</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125,000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Common Stock</w:t>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100,000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 xml:space="preserve">Paid-In Capital in Excess of Par </w:t>
            </w:r>
            <w:r>
              <w:rPr>
                <w:rFonts w:ascii="Arial" w:hAnsi="Arial"/>
                <w:b/>
                <w:sz w:val="26"/>
              </w:rPr>
              <w:br/>
            </w:r>
            <w:r>
              <w:rPr>
                <w:rFonts w:ascii="Arial" w:hAnsi="Arial"/>
                <w:b/>
                <w:sz w:val="26"/>
              </w:rPr>
              <w:tab/>
            </w:r>
            <w:r>
              <w:rPr>
                <w:rFonts w:ascii="Arial" w:hAnsi="Arial"/>
                <w:b/>
                <w:sz w:val="26"/>
              </w:rPr>
              <w:tab/>
              <w:t>Value, Common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br/>
              <w:t>150,000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Dec.</w:t>
            </w:r>
          </w:p>
        </w:tc>
        <w:tc>
          <w:tcPr>
            <w:tcW w:w="720" w:type="dxa"/>
          </w:tcPr>
          <w:p w:rsidR="00DE4E75" w:rsidRDefault="00DE4E75" w:rsidP="00E51190">
            <w:pPr>
              <w:pStyle w:val="TableBody"/>
              <w:rPr>
                <w:rFonts w:ascii="Arial" w:hAnsi="Arial"/>
                <w:b/>
                <w:sz w:val="26"/>
              </w:rPr>
            </w:pPr>
            <w:r>
              <w:rPr>
                <w:rFonts w:ascii="Arial" w:hAnsi="Arial"/>
                <w:b/>
                <w:sz w:val="26"/>
              </w:rPr>
              <w:t>31</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Retained Earnings</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25,000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Income Summary</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25,000</w:t>
            </w:r>
          </w:p>
        </w:tc>
      </w:tr>
      <w:tr w:rsidR="00DE4E75" w:rsidTr="00E51190">
        <w:tc>
          <w:tcPr>
            <w:tcW w:w="950" w:type="dxa"/>
          </w:tcPr>
          <w:p w:rsidR="00DE4E75" w:rsidRDefault="00DE4E75" w:rsidP="00E51190">
            <w:pPr>
              <w:pStyle w:val="TableBody"/>
              <w:rPr>
                <w:rFonts w:ascii="Arial" w:hAnsi="Arial"/>
                <w:b/>
                <w:sz w:val="26"/>
                <w:u w:val="single"/>
              </w:rPr>
            </w:pPr>
            <w:r>
              <w:rPr>
                <w:rFonts w:ascii="Arial" w:hAnsi="Arial"/>
                <w:b/>
                <w:sz w:val="26"/>
                <w:u w:val="single"/>
              </w:rPr>
              <w:t>2022</w:t>
            </w: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Jan.</w:t>
            </w:r>
          </w:p>
        </w:tc>
        <w:tc>
          <w:tcPr>
            <w:tcW w:w="720" w:type="dxa"/>
          </w:tcPr>
          <w:p w:rsidR="00DE4E75" w:rsidRDefault="00DE4E75" w:rsidP="00E51190">
            <w:pPr>
              <w:pStyle w:val="TableBody"/>
              <w:rPr>
                <w:rFonts w:ascii="Arial" w:hAnsi="Arial"/>
                <w:b/>
                <w:sz w:val="26"/>
              </w:rPr>
            </w:pPr>
            <w:r>
              <w:rPr>
                <w:rFonts w:ascii="Arial" w:hAnsi="Arial"/>
                <w:b/>
                <w:sz w:val="26"/>
              </w:rPr>
              <w:t>12</w:t>
            </w:r>
          </w:p>
        </w:tc>
        <w:tc>
          <w:tcPr>
            <w:tcW w:w="5299" w:type="dxa"/>
          </w:tcPr>
          <w:p w:rsidR="00DE4E75" w:rsidRDefault="00DE4E75" w:rsidP="00E51190">
            <w:pPr>
              <w:pStyle w:val="TableBody"/>
              <w:tabs>
                <w:tab w:val="right" w:leader="dot" w:pos="5112"/>
              </w:tabs>
              <w:rPr>
                <w:rFonts w:ascii="Arial" w:hAnsi="Arial"/>
                <w:b/>
                <w:sz w:val="26"/>
              </w:rPr>
            </w:pPr>
            <w:r>
              <w:rPr>
                <w:rFonts w:ascii="Arial" w:hAnsi="Arial"/>
                <w:b/>
                <w:sz w:val="26"/>
              </w:rPr>
              <w:t>Cash</w:t>
            </w:r>
            <w:r>
              <w:rPr>
                <w:rFonts w:ascii="Arial" w:hAnsi="Arial"/>
                <w:b/>
                <w:sz w:val="26"/>
              </w:rPr>
              <w:tab/>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75,000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Preferred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50,000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 xml:space="preserve">Paid-In Capital in Excess of Par </w:t>
            </w:r>
            <w:r>
              <w:rPr>
                <w:rFonts w:ascii="Arial" w:hAnsi="Arial"/>
                <w:b/>
                <w:sz w:val="26"/>
              </w:rPr>
              <w:br/>
            </w:r>
            <w:r>
              <w:rPr>
                <w:rFonts w:ascii="Arial" w:hAnsi="Arial"/>
                <w:b/>
                <w:sz w:val="26"/>
              </w:rPr>
              <w:tab/>
            </w:r>
            <w:r>
              <w:rPr>
                <w:rFonts w:ascii="Arial" w:hAnsi="Arial"/>
                <w:b/>
                <w:sz w:val="26"/>
              </w:rPr>
              <w:tab/>
              <w:t>Value, Preferred Stock</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br/>
              <w:t>25,000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Dec.</w:t>
            </w:r>
          </w:p>
        </w:tc>
        <w:tc>
          <w:tcPr>
            <w:tcW w:w="720" w:type="dxa"/>
          </w:tcPr>
          <w:p w:rsidR="00DE4E75" w:rsidRDefault="00DE4E75" w:rsidP="00E51190">
            <w:pPr>
              <w:pStyle w:val="TableBody"/>
              <w:rPr>
                <w:rFonts w:ascii="Arial" w:hAnsi="Arial"/>
                <w:b/>
                <w:sz w:val="26"/>
              </w:rPr>
            </w:pPr>
            <w:r>
              <w:rPr>
                <w:rFonts w:ascii="Arial" w:hAnsi="Arial"/>
                <w:b/>
                <w:sz w:val="26"/>
              </w:rPr>
              <w:t>15</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Retained Earnings</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21,500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Common Dividend Payable</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17,500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Preferred Dividend Payable</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4,000</w:t>
            </w: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r>
              <w:rPr>
                <w:rFonts w:ascii="Arial" w:hAnsi="Arial"/>
                <w:b/>
                <w:sz w:val="26"/>
              </w:rPr>
              <w:t>31</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Income Summary</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69,000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Retained Earnings</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69,000</w:t>
            </w:r>
          </w:p>
        </w:tc>
      </w:tr>
      <w:tr w:rsidR="00DE4E75" w:rsidTr="00E51190">
        <w:tc>
          <w:tcPr>
            <w:tcW w:w="950" w:type="dxa"/>
          </w:tcPr>
          <w:p w:rsidR="00DE4E75" w:rsidRDefault="00DE4E75" w:rsidP="00E51190">
            <w:pPr>
              <w:pStyle w:val="TableBody"/>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rPr>
                <w:rFonts w:ascii="Arial" w:hAnsi="Arial"/>
                <w:b/>
                <w:sz w:val="26"/>
                <w:u w:val="single"/>
              </w:rPr>
            </w:pPr>
            <w:r>
              <w:rPr>
                <w:rFonts w:ascii="Arial" w:hAnsi="Arial"/>
                <w:b/>
                <w:sz w:val="26"/>
                <w:u w:val="single"/>
              </w:rPr>
              <w:t>2023</w:t>
            </w: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r>
              <w:rPr>
                <w:rFonts w:ascii="Arial" w:hAnsi="Arial"/>
                <w:b/>
                <w:sz w:val="26"/>
              </w:rPr>
              <w:t>Jan.</w:t>
            </w:r>
          </w:p>
        </w:tc>
        <w:tc>
          <w:tcPr>
            <w:tcW w:w="720" w:type="dxa"/>
          </w:tcPr>
          <w:p w:rsidR="00DE4E75" w:rsidRDefault="00DE4E75" w:rsidP="00E51190">
            <w:pPr>
              <w:pStyle w:val="TableBody"/>
              <w:rPr>
                <w:rFonts w:ascii="Arial" w:hAnsi="Arial"/>
                <w:b/>
                <w:sz w:val="26"/>
              </w:rPr>
            </w:pPr>
            <w:r>
              <w:rPr>
                <w:rFonts w:ascii="Arial" w:hAnsi="Arial"/>
                <w:b/>
                <w:sz w:val="26"/>
              </w:rPr>
              <w:t>31</w:t>
            </w: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Preferred Dividend Payable</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4,000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Common Dividend Payable</w:t>
            </w:r>
            <w:r>
              <w:rPr>
                <w:rFonts w:ascii="Arial" w:hAnsi="Arial"/>
                <w:b/>
                <w:sz w:val="26"/>
              </w:rPr>
              <w:tab/>
            </w:r>
          </w:p>
        </w:tc>
        <w:tc>
          <w:tcPr>
            <w:tcW w:w="1191" w:type="dxa"/>
          </w:tcPr>
          <w:p w:rsidR="00DE4E75" w:rsidRDefault="00DE4E75" w:rsidP="00E51190">
            <w:pPr>
              <w:pStyle w:val="TableBody"/>
              <w:jc w:val="right"/>
              <w:rPr>
                <w:rFonts w:ascii="Arial" w:hAnsi="Arial"/>
                <w:b/>
                <w:sz w:val="26"/>
              </w:rPr>
            </w:pPr>
            <w:r>
              <w:rPr>
                <w:rFonts w:ascii="Arial" w:hAnsi="Arial"/>
                <w:b/>
                <w:sz w:val="26"/>
              </w:rPr>
              <w:t>17,500</w:t>
            </w:r>
          </w:p>
        </w:tc>
        <w:tc>
          <w:tcPr>
            <w:tcW w:w="1191" w:type="dxa"/>
          </w:tcPr>
          <w:p w:rsidR="00DE4E75" w:rsidRDefault="00DE4E75" w:rsidP="00E51190">
            <w:pPr>
              <w:pStyle w:val="TableBody"/>
              <w:jc w:val="right"/>
              <w:rPr>
                <w:rFonts w:ascii="Arial" w:hAnsi="Arial"/>
                <w:b/>
                <w:sz w:val="26"/>
              </w:rPr>
            </w:pPr>
          </w:p>
        </w:tc>
      </w:tr>
      <w:tr w:rsidR="00DE4E75" w:rsidTr="00E51190">
        <w:tc>
          <w:tcPr>
            <w:tcW w:w="950" w:type="dxa"/>
          </w:tcPr>
          <w:p w:rsidR="00DE4E75" w:rsidRDefault="00DE4E75" w:rsidP="00E51190">
            <w:pPr>
              <w:pStyle w:val="TableBody"/>
              <w:jc w:val="right"/>
              <w:rPr>
                <w:rFonts w:ascii="Arial" w:hAnsi="Arial"/>
                <w:b/>
                <w:sz w:val="26"/>
              </w:rPr>
            </w:pPr>
          </w:p>
        </w:tc>
        <w:tc>
          <w:tcPr>
            <w:tcW w:w="720" w:type="dxa"/>
          </w:tcPr>
          <w:p w:rsidR="00DE4E75" w:rsidRDefault="00DE4E75" w:rsidP="00E51190">
            <w:pPr>
              <w:pStyle w:val="TableBody"/>
              <w:rPr>
                <w:rFonts w:ascii="Arial" w:hAnsi="Arial"/>
                <w:b/>
                <w:sz w:val="26"/>
              </w:rPr>
            </w:pPr>
          </w:p>
        </w:tc>
        <w:tc>
          <w:tcPr>
            <w:tcW w:w="5299" w:type="dxa"/>
          </w:tcPr>
          <w:p w:rsidR="00DE4E75" w:rsidRDefault="00DE4E75" w:rsidP="00E51190">
            <w:pPr>
              <w:pStyle w:val="TableBody"/>
              <w:tabs>
                <w:tab w:val="left" w:pos="432"/>
                <w:tab w:val="left" w:pos="720"/>
                <w:tab w:val="right" w:leader="dot" w:pos="5112"/>
              </w:tabs>
              <w:rPr>
                <w:rFonts w:ascii="Arial" w:hAnsi="Arial"/>
                <w:b/>
                <w:sz w:val="26"/>
              </w:rPr>
            </w:pPr>
            <w:r>
              <w:rPr>
                <w:rFonts w:ascii="Arial" w:hAnsi="Arial"/>
                <w:b/>
                <w:sz w:val="26"/>
              </w:rPr>
              <w:tab/>
              <w:t>Cash</w:t>
            </w:r>
            <w:r>
              <w:rPr>
                <w:rFonts w:ascii="Arial" w:hAnsi="Arial"/>
                <w:b/>
                <w:sz w:val="26"/>
              </w:rPr>
              <w:tab/>
            </w:r>
          </w:p>
        </w:tc>
        <w:tc>
          <w:tcPr>
            <w:tcW w:w="1191" w:type="dxa"/>
          </w:tcPr>
          <w:p w:rsidR="00DE4E75" w:rsidRDefault="00DE4E75" w:rsidP="00E51190">
            <w:pPr>
              <w:pStyle w:val="TableBody"/>
              <w:jc w:val="right"/>
              <w:rPr>
                <w:rFonts w:ascii="Arial" w:hAnsi="Arial"/>
                <w:b/>
                <w:sz w:val="26"/>
              </w:rPr>
            </w:pPr>
          </w:p>
        </w:tc>
        <w:tc>
          <w:tcPr>
            <w:tcW w:w="1191" w:type="dxa"/>
          </w:tcPr>
          <w:p w:rsidR="00DE4E75" w:rsidRDefault="00DE4E75" w:rsidP="00E51190">
            <w:pPr>
              <w:pStyle w:val="TableBody"/>
              <w:jc w:val="right"/>
              <w:rPr>
                <w:rFonts w:ascii="Arial" w:hAnsi="Arial"/>
                <w:b/>
                <w:sz w:val="26"/>
              </w:rPr>
            </w:pPr>
            <w:r>
              <w:rPr>
                <w:rFonts w:ascii="Arial" w:hAnsi="Arial"/>
                <w:b/>
                <w:sz w:val="26"/>
              </w:rPr>
              <w:t>21,500</w:t>
            </w:r>
          </w:p>
        </w:tc>
      </w:tr>
    </w:tbl>
    <w:p w:rsidR="00DE4E75" w:rsidRDefault="00DE4E75" w:rsidP="00DE4E75">
      <w:pPr>
        <w:pStyle w:val="BodyText"/>
        <w:rPr>
          <w:rFonts w:ascii="Arial" w:hAnsi="Arial"/>
          <w:b/>
          <w:i/>
          <w:sz w:val="26"/>
        </w:rPr>
      </w:pPr>
      <w:r>
        <w:rPr>
          <w:sz w:val="18"/>
        </w:rPr>
        <w:br w:type="page"/>
      </w:r>
      <w:r>
        <w:rPr>
          <w:rFonts w:ascii="Arial" w:hAnsi="Arial"/>
          <w:b/>
          <w:i/>
          <w:sz w:val="26"/>
        </w:rPr>
        <w:lastRenderedPageBreak/>
        <w:t>Part 2</w:t>
      </w:r>
    </w:p>
    <w:p w:rsidR="00DE4E75" w:rsidRDefault="00DE4E75" w:rsidP="00DE4E75">
      <w:pPr>
        <w:pStyle w:val="tableheadscenter"/>
        <w:rPr>
          <w:sz w:val="26"/>
        </w:rPr>
      </w:pPr>
      <w:r>
        <w:rPr>
          <w:sz w:val="26"/>
        </w:rPr>
        <w:t>Stockholders’ Equity</w:t>
      </w:r>
    </w:p>
    <w:tbl>
      <w:tblPr>
        <w:tblW w:w="0" w:type="auto"/>
        <w:tblLayout w:type="fixed"/>
        <w:tblLook w:val="0000"/>
      </w:tblPr>
      <w:tblGrid>
        <w:gridCol w:w="6948"/>
        <w:gridCol w:w="1325"/>
        <w:gridCol w:w="1375"/>
      </w:tblGrid>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 xml:space="preserve">Preferred stock, $50 par value, 8% cumulative and </w:t>
            </w: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ab/>
              <w:t xml:space="preserve">nonparticipating, 10,000 shares authorized, 1,000 </w:t>
            </w: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ab/>
              <w:t>shares issued</w:t>
            </w:r>
            <w:r>
              <w:rPr>
                <w:rFonts w:ascii="Arial" w:hAnsi="Arial"/>
                <w:b/>
                <w:sz w:val="26"/>
              </w:rPr>
              <w:tab/>
            </w:r>
          </w:p>
        </w:tc>
        <w:tc>
          <w:tcPr>
            <w:tcW w:w="1325" w:type="dxa"/>
          </w:tcPr>
          <w:p w:rsidR="00DE4E75" w:rsidRDefault="00DE4E75" w:rsidP="00E51190">
            <w:pPr>
              <w:pStyle w:val="TableBody"/>
              <w:jc w:val="right"/>
              <w:rPr>
                <w:rFonts w:ascii="Arial" w:hAnsi="Arial"/>
                <w:b/>
                <w:sz w:val="26"/>
              </w:rPr>
            </w:pPr>
            <w:r>
              <w:rPr>
                <w:rFonts w:ascii="Arial" w:hAnsi="Arial"/>
                <w:b/>
                <w:sz w:val="26"/>
              </w:rPr>
              <w:t>$  50,000</w:t>
            </w: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Paid-in capital in excess of par, preferred stock</w:t>
            </w:r>
            <w:r>
              <w:rPr>
                <w:rFonts w:ascii="Arial" w:hAnsi="Arial"/>
                <w:b/>
                <w:sz w:val="26"/>
              </w:rPr>
              <w:tab/>
            </w:r>
          </w:p>
        </w:tc>
        <w:tc>
          <w:tcPr>
            <w:tcW w:w="1325"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25,000</w:t>
            </w:r>
          </w:p>
        </w:tc>
        <w:tc>
          <w:tcPr>
            <w:tcW w:w="1375" w:type="dxa"/>
          </w:tcPr>
          <w:p w:rsidR="00DE4E75" w:rsidRDefault="00DE4E75" w:rsidP="00E51190">
            <w:pPr>
              <w:pStyle w:val="TableBody"/>
              <w:jc w:val="right"/>
              <w:rPr>
                <w:rFonts w:ascii="Arial" w:hAnsi="Arial"/>
                <w:b/>
                <w:sz w:val="26"/>
              </w:rPr>
            </w:pPr>
            <w:r>
              <w:rPr>
                <w:rFonts w:ascii="Arial" w:hAnsi="Arial"/>
                <w:b/>
                <w:sz w:val="26"/>
              </w:rPr>
              <w:t>75,000</w:t>
            </w: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Common stock, $1 par value, 200,000 shares</w:t>
            </w: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ab/>
              <w:t>authorized, 175,000 issued</w:t>
            </w:r>
            <w:r>
              <w:rPr>
                <w:rFonts w:ascii="Arial" w:hAnsi="Arial"/>
                <w:b/>
                <w:sz w:val="26"/>
              </w:rPr>
              <w:tab/>
            </w:r>
          </w:p>
        </w:tc>
        <w:tc>
          <w:tcPr>
            <w:tcW w:w="1325" w:type="dxa"/>
          </w:tcPr>
          <w:p w:rsidR="00DE4E75" w:rsidRDefault="00DE4E75" w:rsidP="00E51190">
            <w:pPr>
              <w:pStyle w:val="TableBody"/>
              <w:jc w:val="right"/>
              <w:rPr>
                <w:rFonts w:ascii="Arial" w:hAnsi="Arial"/>
                <w:b/>
                <w:sz w:val="26"/>
              </w:rPr>
            </w:pPr>
            <w:r>
              <w:rPr>
                <w:rFonts w:ascii="Arial" w:hAnsi="Arial"/>
                <w:b/>
                <w:sz w:val="26"/>
              </w:rPr>
              <w:t>$175,000</w:t>
            </w:r>
          </w:p>
        </w:tc>
        <w:tc>
          <w:tcPr>
            <w:tcW w:w="1375" w:type="dxa"/>
          </w:tcPr>
          <w:p w:rsidR="00DE4E75" w:rsidRDefault="00DE4E75" w:rsidP="00E51190">
            <w:pPr>
              <w:pStyle w:val="TableBody"/>
              <w:jc w:val="right"/>
              <w:rPr>
                <w:rFonts w:ascii="Arial" w:hAnsi="Arial"/>
                <w:b/>
                <w:sz w:val="26"/>
              </w:rPr>
            </w:pP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Paid-in capital in excess of par, common stock</w:t>
            </w:r>
            <w:r>
              <w:rPr>
                <w:rFonts w:ascii="Arial" w:hAnsi="Arial"/>
                <w:b/>
                <w:sz w:val="26"/>
              </w:rPr>
              <w:tab/>
            </w:r>
          </w:p>
        </w:tc>
        <w:tc>
          <w:tcPr>
            <w:tcW w:w="1325"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170,000</w:t>
            </w:r>
          </w:p>
        </w:tc>
        <w:tc>
          <w:tcPr>
            <w:tcW w:w="1375"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345,000</w:t>
            </w: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Total Paid-in capital</w:t>
            </w:r>
            <w:r>
              <w:rPr>
                <w:rFonts w:ascii="Arial" w:hAnsi="Arial"/>
                <w:b/>
                <w:sz w:val="26"/>
              </w:rPr>
              <w:tab/>
            </w:r>
          </w:p>
        </w:tc>
        <w:tc>
          <w:tcPr>
            <w:tcW w:w="1325" w:type="dxa"/>
          </w:tcPr>
          <w:p w:rsidR="00DE4E75" w:rsidRDefault="00DE4E75" w:rsidP="00E51190">
            <w:pPr>
              <w:pStyle w:val="TableBody"/>
              <w:jc w:val="right"/>
              <w:rPr>
                <w:rFonts w:ascii="Arial" w:hAnsi="Arial"/>
                <w:b/>
                <w:sz w:val="26"/>
              </w:rPr>
            </w:pPr>
          </w:p>
        </w:tc>
        <w:tc>
          <w:tcPr>
            <w:tcW w:w="1375" w:type="dxa"/>
          </w:tcPr>
          <w:p w:rsidR="00DE4E75" w:rsidRDefault="00DE4E75" w:rsidP="00E51190">
            <w:pPr>
              <w:pStyle w:val="TableBody"/>
              <w:jc w:val="right"/>
              <w:rPr>
                <w:rFonts w:ascii="Arial" w:hAnsi="Arial"/>
                <w:b/>
                <w:sz w:val="26"/>
              </w:rPr>
            </w:pPr>
            <w:r>
              <w:rPr>
                <w:rFonts w:ascii="Arial" w:hAnsi="Arial"/>
                <w:b/>
                <w:sz w:val="26"/>
              </w:rPr>
              <w:t>420,000</w:t>
            </w: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Retained earnings</w:t>
            </w:r>
            <w:r>
              <w:rPr>
                <w:rFonts w:ascii="Arial" w:hAnsi="Arial"/>
                <w:b/>
                <w:sz w:val="26"/>
              </w:rPr>
              <w:tab/>
            </w:r>
          </w:p>
        </w:tc>
        <w:tc>
          <w:tcPr>
            <w:tcW w:w="1325" w:type="dxa"/>
          </w:tcPr>
          <w:p w:rsidR="00DE4E75" w:rsidRDefault="00DE4E75" w:rsidP="00E51190">
            <w:pPr>
              <w:pStyle w:val="TableBody"/>
              <w:rPr>
                <w:rFonts w:ascii="Arial" w:hAnsi="Arial"/>
                <w:b/>
                <w:sz w:val="26"/>
              </w:rPr>
            </w:pPr>
          </w:p>
        </w:tc>
        <w:tc>
          <w:tcPr>
            <w:tcW w:w="1375"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22,500</w:t>
            </w:r>
          </w:p>
        </w:tc>
      </w:tr>
      <w:tr w:rsidR="00DE4E75" w:rsidTr="00E51190">
        <w:tc>
          <w:tcPr>
            <w:tcW w:w="6948" w:type="dxa"/>
          </w:tcPr>
          <w:p w:rsidR="00DE4E75" w:rsidRDefault="00DE4E75" w:rsidP="00E51190">
            <w:pPr>
              <w:pStyle w:val="TableBody"/>
              <w:tabs>
                <w:tab w:val="left" w:pos="432"/>
                <w:tab w:val="left" w:pos="720"/>
                <w:tab w:val="right" w:leader="dot" w:pos="6768"/>
              </w:tabs>
              <w:rPr>
                <w:rFonts w:ascii="Arial" w:hAnsi="Arial"/>
                <w:b/>
                <w:sz w:val="26"/>
              </w:rPr>
            </w:pPr>
            <w:r>
              <w:rPr>
                <w:rFonts w:ascii="Arial" w:hAnsi="Arial"/>
                <w:b/>
                <w:sz w:val="26"/>
              </w:rPr>
              <w:t>Total stockholders’ equity</w:t>
            </w:r>
            <w:r>
              <w:rPr>
                <w:rFonts w:ascii="Arial" w:hAnsi="Arial"/>
                <w:b/>
                <w:sz w:val="26"/>
              </w:rPr>
              <w:tab/>
            </w:r>
          </w:p>
        </w:tc>
        <w:tc>
          <w:tcPr>
            <w:tcW w:w="1325" w:type="dxa"/>
          </w:tcPr>
          <w:p w:rsidR="00DE4E75" w:rsidRDefault="00DE4E75" w:rsidP="00E51190">
            <w:pPr>
              <w:pStyle w:val="TableBody"/>
              <w:rPr>
                <w:rFonts w:ascii="Arial" w:hAnsi="Arial"/>
                <w:b/>
                <w:sz w:val="26"/>
              </w:rPr>
            </w:pPr>
          </w:p>
        </w:tc>
        <w:tc>
          <w:tcPr>
            <w:tcW w:w="1375" w:type="dxa"/>
          </w:tcPr>
          <w:p w:rsidR="00DE4E75" w:rsidRDefault="00DE4E75" w:rsidP="00E51190">
            <w:pPr>
              <w:pStyle w:val="TableBody"/>
              <w:jc w:val="right"/>
              <w:rPr>
                <w:rFonts w:ascii="Arial" w:hAnsi="Arial"/>
                <w:b/>
                <w:sz w:val="26"/>
                <w:u w:val="double"/>
              </w:rPr>
            </w:pPr>
            <w:r>
              <w:rPr>
                <w:rFonts w:ascii="Arial" w:hAnsi="Arial"/>
                <w:b/>
                <w:sz w:val="26"/>
                <w:u w:val="double"/>
              </w:rPr>
              <w:t>$422,500</w:t>
            </w:r>
          </w:p>
        </w:tc>
      </w:tr>
    </w:tbl>
    <w:p w:rsidR="00DE4E75" w:rsidRDefault="00DE4E75" w:rsidP="00DE4E75">
      <w:pPr>
        <w:pStyle w:val="TableBody"/>
      </w:pPr>
    </w:p>
    <w:p w:rsidR="00DE4E75" w:rsidRDefault="00DE4E75" w:rsidP="00DE4E75">
      <w:pPr>
        <w:pStyle w:val="BodyText"/>
        <w:jc w:val="left"/>
        <w:rPr>
          <w:rFonts w:ascii="Arial" w:hAnsi="Arial"/>
          <w:b/>
          <w:smallCaps/>
          <w:sz w:val="20"/>
        </w:rPr>
      </w:pPr>
      <w:r>
        <w:rPr>
          <w:rFonts w:ascii="Arial" w:hAnsi="Arial"/>
          <w:b/>
          <w:sz w:val="26"/>
        </w:rPr>
        <w:br/>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6"/>
        </w:rPr>
        <w:tab/>
      </w:r>
      <w:r>
        <w:rPr>
          <w:rFonts w:ascii="Arial" w:hAnsi="Arial"/>
          <w:b/>
          <w:smallCaps/>
          <w:sz w:val="20"/>
        </w:rPr>
        <w:t>*rounded</w:t>
      </w:r>
    </w:p>
    <w:p w:rsidR="00DE4E75" w:rsidRDefault="00DE4E75" w:rsidP="00DE4E75">
      <w:pPr>
        <w:pStyle w:val="tableheadscenter"/>
        <w:rPr>
          <w:sz w:val="26"/>
        </w:rPr>
      </w:pPr>
      <w:r>
        <w:br w:type="page"/>
      </w:r>
      <w:r w:rsidRPr="00E413FA">
        <w:rPr>
          <w:sz w:val="26"/>
        </w:rPr>
        <w:lastRenderedPageBreak/>
        <w:t>Chapter 1</w:t>
      </w:r>
      <w:r>
        <w:rPr>
          <w:sz w:val="26"/>
        </w:rPr>
        <w:t>1</w:t>
      </w:r>
      <w:r>
        <w:t xml:space="preserve"> </w:t>
      </w:r>
      <w:r>
        <w:rPr>
          <w:sz w:val="26"/>
        </w:rPr>
        <w:t>Alternate Demonstration Problem #2</w:t>
      </w:r>
    </w:p>
    <w:p w:rsidR="00DE4E75" w:rsidRDefault="00DE4E75" w:rsidP="00DE4E75">
      <w:pPr>
        <w:pStyle w:val="tableheadscenter"/>
        <w:rPr>
          <w:sz w:val="26"/>
        </w:rPr>
      </w:pPr>
    </w:p>
    <w:p w:rsidR="00DE4E75" w:rsidRDefault="00DE4E75" w:rsidP="00DE4E75">
      <w:pPr>
        <w:pStyle w:val="BodyText"/>
        <w:jc w:val="left"/>
        <w:rPr>
          <w:rFonts w:ascii="Arial" w:hAnsi="Arial"/>
          <w:b/>
          <w:sz w:val="26"/>
        </w:rPr>
      </w:pPr>
      <w:r>
        <w:rPr>
          <w:rFonts w:ascii="Arial" w:hAnsi="Arial"/>
          <w:b/>
          <w:sz w:val="26"/>
        </w:rPr>
        <w:t>At the beginning of 2021, Austin Corporation’s stockholders’ equity consisted of the following:</w:t>
      </w:r>
    </w:p>
    <w:tbl>
      <w:tblPr>
        <w:tblW w:w="0" w:type="auto"/>
        <w:tblLayout w:type="fixed"/>
        <w:tblLook w:val="0000"/>
      </w:tblPr>
      <w:tblGrid>
        <w:gridCol w:w="7920"/>
        <w:gridCol w:w="1440"/>
      </w:tblGrid>
      <w:tr w:rsidR="00DE4E75" w:rsidTr="00E51190">
        <w:tc>
          <w:tcPr>
            <w:tcW w:w="7920" w:type="dxa"/>
          </w:tcPr>
          <w:p w:rsidR="00DE4E75" w:rsidRDefault="00DE4E75" w:rsidP="00E51190">
            <w:pPr>
              <w:pStyle w:val="TableBody"/>
              <w:tabs>
                <w:tab w:val="left" w:pos="432"/>
                <w:tab w:val="left" w:leader="dot" w:pos="7560"/>
              </w:tabs>
              <w:rPr>
                <w:rFonts w:ascii="Arial" w:hAnsi="Arial"/>
                <w:b/>
                <w:sz w:val="26"/>
              </w:rPr>
            </w:pPr>
            <w:r>
              <w:rPr>
                <w:rFonts w:ascii="Arial" w:hAnsi="Arial"/>
                <w:b/>
                <w:sz w:val="26"/>
              </w:rPr>
              <w:t xml:space="preserve">Common stock, $25 par value, 30,000 shares authorized, </w:t>
            </w:r>
            <w:r>
              <w:rPr>
                <w:rFonts w:ascii="Arial" w:hAnsi="Arial"/>
                <w:b/>
                <w:sz w:val="26"/>
              </w:rPr>
              <w:tab/>
              <w:t>24,000 shares issued</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br/>
              <w:t>$600,000</w:t>
            </w:r>
          </w:p>
        </w:tc>
      </w:tr>
      <w:tr w:rsidR="00DE4E75" w:rsidTr="00E51190">
        <w:tc>
          <w:tcPr>
            <w:tcW w:w="7920" w:type="dxa"/>
          </w:tcPr>
          <w:p w:rsidR="00DE4E75" w:rsidRDefault="00DE4E75" w:rsidP="00E51190">
            <w:pPr>
              <w:pStyle w:val="TableBody"/>
              <w:tabs>
                <w:tab w:val="left" w:pos="432"/>
                <w:tab w:val="left" w:leader="dot" w:pos="7560"/>
              </w:tabs>
              <w:rPr>
                <w:rFonts w:ascii="Arial" w:hAnsi="Arial"/>
                <w:b/>
                <w:sz w:val="26"/>
              </w:rPr>
            </w:pPr>
            <w:r>
              <w:rPr>
                <w:rFonts w:ascii="Arial" w:hAnsi="Arial"/>
                <w:b/>
                <w:sz w:val="26"/>
              </w:rPr>
              <w:t>Paid-In capital in excess of par value common stock</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t>90,000</w:t>
            </w:r>
          </w:p>
        </w:tc>
      </w:tr>
      <w:tr w:rsidR="00DE4E75" w:rsidTr="00E51190">
        <w:tc>
          <w:tcPr>
            <w:tcW w:w="7920" w:type="dxa"/>
          </w:tcPr>
          <w:p w:rsidR="00DE4E75" w:rsidRDefault="00DE4E75" w:rsidP="00E51190">
            <w:pPr>
              <w:pStyle w:val="TableBody"/>
              <w:tabs>
                <w:tab w:val="left" w:pos="432"/>
                <w:tab w:val="left" w:leader="dot" w:pos="7560"/>
              </w:tabs>
              <w:rPr>
                <w:rFonts w:ascii="Arial" w:hAnsi="Arial"/>
                <w:b/>
                <w:sz w:val="26"/>
              </w:rPr>
            </w:pPr>
            <w:r>
              <w:rPr>
                <w:rFonts w:ascii="Arial" w:hAnsi="Arial"/>
                <w:b/>
                <w:sz w:val="26"/>
              </w:rPr>
              <w:t>Retained earnings</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230,000</w:t>
            </w:r>
          </w:p>
        </w:tc>
      </w:tr>
      <w:tr w:rsidR="00DE4E75" w:rsidTr="00E51190">
        <w:tc>
          <w:tcPr>
            <w:tcW w:w="7920" w:type="dxa"/>
          </w:tcPr>
          <w:p w:rsidR="00DE4E75" w:rsidRDefault="00DE4E75" w:rsidP="00E51190">
            <w:pPr>
              <w:pStyle w:val="TableBody"/>
              <w:tabs>
                <w:tab w:val="left" w:pos="432"/>
                <w:tab w:val="left" w:leader="dot" w:pos="7560"/>
              </w:tabs>
              <w:rPr>
                <w:rFonts w:ascii="Arial" w:hAnsi="Arial"/>
                <w:b/>
                <w:sz w:val="26"/>
              </w:rPr>
            </w:pPr>
            <w:r>
              <w:rPr>
                <w:rFonts w:ascii="Arial" w:hAnsi="Arial"/>
                <w:b/>
                <w:sz w:val="26"/>
              </w:rPr>
              <w:tab/>
              <w:t>Total stockholders’ equity</w:t>
            </w:r>
            <w:r>
              <w:rPr>
                <w:rFonts w:ascii="Arial" w:hAnsi="Arial"/>
                <w:b/>
                <w:sz w:val="26"/>
              </w:rPr>
              <w:tab/>
            </w:r>
          </w:p>
        </w:tc>
        <w:tc>
          <w:tcPr>
            <w:tcW w:w="1440" w:type="dxa"/>
          </w:tcPr>
          <w:p w:rsidR="00DE4E75" w:rsidRDefault="00DE4E75" w:rsidP="00E51190">
            <w:pPr>
              <w:pStyle w:val="TableBody"/>
              <w:jc w:val="right"/>
              <w:rPr>
                <w:rFonts w:ascii="Arial" w:hAnsi="Arial"/>
                <w:b/>
                <w:sz w:val="26"/>
                <w:u w:val="double"/>
              </w:rPr>
            </w:pPr>
            <w:r>
              <w:rPr>
                <w:rFonts w:ascii="Arial" w:hAnsi="Arial"/>
                <w:b/>
                <w:sz w:val="26"/>
                <w:u w:val="double"/>
              </w:rPr>
              <w:t>$920,000</w:t>
            </w:r>
          </w:p>
        </w:tc>
      </w:tr>
      <w:tr w:rsidR="00DE4E75" w:rsidTr="00E51190">
        <w:tc>
          <w:tcPr>
            <w:tcW w:w="7920" w:type="dxa"/>
          </w:tcPr>
          <w:p w:rsidR="00DE4E75" w:rsidRDefault="00DE4E75" w:rsidP="00E51190">
            <w:pPr>
              <w:pStyle w:val="TableBody"/>
              <w:tabs>
                <w:tab w:val="left" w:pos="432"/>
                <w:tab w:val="left" w:leader="dot" w:pos="7560"/>
              </w:tabs>
              <w:rPr>
                <w:rFonts w:ascii="Arial" w:hAnsi="Arial"/>
                <w:b/>
                <w:sz w:val="26"/>
              </w:rPr>
            </w:pPr>
          </w:p>
        </w:tc>
        <w:tc>
          <w:tcPr>
            <w:tcW w:w="1440" w:type="dxa"/>
          </w:tcPr>
          <w:p w:rsidR="00DE4E75" w:rsidRDefault="00DE4E75" w:rsidP="00E51190">
            <w:pPr>
              <w:pStyle w:val="TableBody"/>
              <w:jc w:val="right"/>
              <w:rPr>
                <w:rFonts w:ascii="Arial" w:hAnsi="Arial"/>
                <w:b/>
                <w:sz w:val="26"/>
                <w:u w:val="double"/>
              </w:rPr>
            </w:pPr>
          </w:p>
        </w:tc>
      </w:tr>
    </w:tbl>
    <w:p w:rsidR="00DE4E75" w:rsidRDefault="00DE4E75" w:rsidP="00DE4E75">
      <w:pPr>
        <w:pStyle w:val="BodyText"/>
        <w:rPr>
          <w:rFonts w:ascii="Arial" w:hAnsi="Arial"/>
          <w:b/>
          <w:sz w:val="26"/>
        </w:rPr>
      </w:pPr>
      <w:r>
        <w:rPr>
          <w:rFonts w:ascii="Arial" w:hAnsi="Arial"/>
          <w:b/>
          <w:sz w:val="26"/>
        </w:rPr>
        <w:t>During the year, the company completed these transactions:</w:t>
      </w:r>
    </w:p>
    <w:tbl>
      <w:tblPr>
        <w:tblW w:w="0" w:type="auto"/>
        <w:tblLayout w:type="fixed"/>
        <w:tblLook w:val="0000"/>
      </w:tblPr>
      <w:tblGrid>
        <w:gridCol w:w="864"/>
        <w:gridCol w:w="546"/>
        <w:gridCol w:w="7968"/>
      </w:tblGrid>
      <w:tr w:rsidR="00DE4E75" w:rsidTr="00E51190">
        <w:tc>
          <w:tcPr>
            <w:tcW w:w="864" w:type="dxa"/>
          </w:tcPr>
          <w:p w:rsidR="00DE4E75" w:rsidRDefault="00DE4E75" w:rsidP="00E51190">
            <w:pPr>
              <w:pStyle w:val="TableBody"/>
              <w:rPr>
                <w:rFonts w:ascii="Arial" w:hAnsi="Arial"/>
                <w:b/>
                <w:sz w:val="26"/>
              </w:rPr>
            </w:pPr>
            <w:r>
              <w:rPr>
                <w:rFonts w:ascii="Arial" w:hAnsi="Arial"/>
                <w:b/>
                <w:sz w:val="26"/>
              </w:rPr>
              <w:t>June</w:t>
            </w:r>
          </w:p>
        </w:tc>
        <w:tc>
          <w:tcPr>
            <w:tcW w:w="546" w:type="dxa"/>
          </w:tcPr>
          <w:p w:rsidR="00DE4E75" w:rsidRDefault="00DE4E75" w:rsidP="00E51190">
            <w:pPr>
              <w:pStyle w:val="TableBody"/>
              <w:jc w:val="right"/>
              <w:rPr>
                <w:rFonts w:ascii="Arial" w:hAnsi="Arial"/>
                <w:b/>
                <w:sz w:val="26"/>
              </w:rPr>
            </w:pPr>
            <w:r>
              <w:rPr>
                <w:rFonts w:ascii="Arial" w:hAnsi="Arial"/>
                <w:b/>
                <w:sz w:val="26"/>
              </w:rPr>
              <w:t>6</w:t>
            </w:r>
          </w:p>
        </w:tc>
        <w:tc>
          <w:tcPr>
            <w:tcW w:w="7968" w:type="dxa"/>
          </w:tcPr>
          <w:p w:rsidR="00DE4E75" w:rsidRDefault="00DE4E75" w:rsidP="00E51190">
            <w:pPr>
              <w:pStyle w:val="TableBody"/>
              <w:rPr>
                <w:rFonts w:ascii="Arial" w:hAnsi="Arial"/>
                <w:b/>
                <w:sz w:val="26"/>
              </w:rPr>
            </w:pPr>
            <w:r>
              <w:rPr>
                <w:rFonts w:ascii="Arial" w:hAnsi="Arial"/>
                <w:b/>
                <w:sz w:val="26"/>
              </w:rPr>
              <w:t>Purchased 1,000 shares of treasury stock at $40 per share.</w:t>
            </w:r>
          </w:p>
        </w:tc>
      </w:tr>
      <w:tr w:rsidR="00DE4E75" w:rsidTr="00E51190">
        <w:tc>
          <w:tcPr>
            <w:tcW w:w="864" w:type="dxa"/>
          </w:tcPr>
          <w:p w:rsidR="00DE4E75" w:rsidRDefault="00DE4E75" w:rsidP="00E51190">
            <w:pPr>
              <w:pStyle w:val="TableBody"/>
              <w:rPr>
                <w:rFonts w:ascii="Arial" w:hAnsi="Arial"/>
                <w:b/>
                <w:sz w:val="26"/>
              </w:rPr>
            </w:pPr>
          </w:p>
        </w:tc>
        <w:tc>
          <w:tcPr>
            <w:tcW w:w="546" w:type="dxa"/>
          </w:tcPr>
          <w:p w:rsidR="00DE4E75" w:rsidRDefault="00DE4E75" w:rsidP="00E51190">
            <w:pPr>
              <w:pStyle w:val="TableBody"/>
              <w:jc w:val="right"/>
              <w:rPr>
                <w:rFonts w:ascii="Arial" w:hAnsi="Arial"/>
                <w:b/>
                <w:sz w:val="26"/>
              </w:rPr>
            </w:pPr>
          </w:p>
        </w:tc>
        <w:tc>
          <w:tcPr>
            <w:tcW w:w="7968" w:type="dxa"/>
          </w:tcPr>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p>
        </w:tc>
        <w:tc>
          <w:tcPr>
            <w:tcW w:w="546" w:type="dxa"/>
          </w:tcPr>
          <w:p w:rsidR="00DE4E75" w:rsidRDefault="00DE4E75" w:rsidP="00E51190">
            <w:pPr>
              <w:pStyle w:val="TableBody"/>
              <w:jc w:val="right"/>
              <w:rPr>
                <w:rFonts w:ascii="Arial" w:hAnsi="Arial"/>
                <w:b/>
                <w:sz w:val="26"/>
              </w:rPr>
            </w:pPr>
            <w:r>
              <w:rPr>
                <w:rFonts w:ascii="Arial" w:hAnsi="Arial"/>
                <w:b/>
                <w:sz w:val="26"/>
              </w:rPr>
              <w:t>23</w:t>
            </w:r>
          </w:p>
        </w:tc>
        <w:tc>
          <w:tcPr>
            <w:tcW w:w="7968" w:type="dxa"/>
          </w:tcPr>
          <w:p w:rsidR="00DE4E75" w:rsidRDefault="00DE4E75" w:rsidP="00E51190">
            <w:pPr>
              <w:pStyle w:val="TableBody"/>
              <w:rPr>
                <w:rFonts w:ascii="Arial" w:hAnsi="Arial"/>
                <w:b/>
                <w:sz w:val="26"/>
              </w:rPr>
            </w:pPr>
            <w:r>
              <w:rPr>
                <w:rFonts w:ascii="Arial" w:hAnsi="Arial"/>
                <w:b/>
                <w:sz w:val="26"/>
              </w:rPr>
              <w:t>The directors voted a $0.50 per share cash dividend payable on July 25 to the July 20 stockholders of record.</w:t>
            </w:r>
          </w:p>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r>
              <w:rPr>
                <w:rFonts w:ascii="Arial" w:hAnsi="Arial"/>
                <w:b/>
                <w:sz w:val="26"/>
              </w:rPr>
              <w:t>July</w:t>
            </w:r>
          </w:p>
        </w:tc>
        <w:tc>
          <w:tcPr>
            <w:tcW w:w="546" w:type="dxa"/>
          </w:tcPr>
          <w:p w:rsidR="00DE4E75" w:rsidRDefault="00DE4E75" w:rsidP="00E51190">
            <w:pPr>
              <w:pStyle w:val="TableBody"/>
              <w:jc w:val="right"/>
              <w:rPr>
                <w:rFonts w:ascii="Arial" w:hAnsi="Arial"/>
                <w:b/>
                <w:sz w:val="26"/>
              </w:rPr>
            </w:pPr>
            <w:r>
              <w:rPr>
                <w:rFonts w:ascii="Arial" w:hAnsi="Arial"/>
                <w:b/>
                <w:sz w:val="26"/>
              </w:rPr>
              <w:t>25</w:t>
            </w:r>
          </w:p>
        </w:tc>
        <w:tc>
          <w:tcPr>
            <w:tcW w:w="7968" w:type="dxa"/>
          </w:tcPr>
          <w:p w:rsidR="00DE4E75" w:rsidRDefault="00DE4E75" w:rsidP="00E51190">
            <w:pPr>
              <w:pStyle w:val="TableBody"/>
              <w:rPr>
                <w:rFonts w:ascii="Arial" w:hAnsi="Arial"/>
                <w:b/>
                <w:sz w:val="26"/>
              </w:rPr>
            </w:pPr>
            <w:r>
              <w:rPr>
                <w:rFonts w:ascii="Arial" w:hAnsi="Arial"/>
                <w:b/>
                <w:sz w:val="26"/>
              </w:rPr>
              <w:t>Paid the dividend declared on June 23.</w:t>
            </w:r>
          </w:p>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r>
              <w:rPr>
                <w:rFonts w:ascii="Arial" w:hAnsi="Arial"/>
                <w:b/>
                <w:sz w:val="26"/>
              </w:rPr>
              <w:t>Aug.</w:t>
            </w:r>
          </w:p>
        </w:tc>
        <w:tc>
          <w:tcPr>
            <w:tcW w:w="546" w:type="dxa"/>
          </w:tcPr>
          <w:p w:rsidR="00DE4E75" w:rsidRDefault="00DE4E75" w:rsidP="00E51190">
            <w:pPr>
              <w:pStyle w:val="TableBody"/>
              <w:jc w:val="right"/>
              <w:rPr>
                <w:rFonts w:ascii="Arial" w:hAnsi="Arial"/>
                <w:b/>
                <w:sz w:val="26"/>
              </w:rPr>
            </w:pPr>
            <w:r>
              <w:rPr>
                <w:rFonts w:ascii="Arial" w:hAnsi="Arial"/>
                <w:b/>
                <w:sz w:val="26"/>
              </w:rPr>
              <w:t>10</w:t>
            </w:r>
          </w:p>
        </w:tc>
        <w:tc>
          <w:tcPr>
            <w:tcW w:w="7968" w:type="dxa"/>
          </w:tcPr>
          <w:p w:rsidR="00DE4E75" w:rsidRDefault="00DE4E75" w:rsidP="00E51190">
            <w:pPr>
              <w:pStyle w:val="TableBody"/>
              <w:rPr>
                <w:rFonts w:ascii="Arial" w:hAnsi="Arial"/>
                <w:b/>
                <w:sz w:val="26"/>
              </w:rPr>
            </w:pPr>
            <w:r>
              <w:rPr>
                <w:rFonts w:ascii="Arial" w:hAnsi="Arial"/>
                <w:b/>
                <w:sz w:val="26"/>
              </w:rPr>
              <w:t>Sold 500 of the treasury shares at $45 per share.</w:t>
            </w:r>
          </w:p>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r>
              <w:rPr>
                <w:rFonts w:ascii="Arial" w:hAnsi="Arial"/>
                <w:b/>
                <w:sz w:val="26"/>
              </w:rPr>
              <w:t xml:space="preserve">Oct. </w:t>
            </w:r>
          </w:p>
        </w:tc>
        <w:tc>
          <w:tcPr>
            <w:tcW w:w="546" w:type="dxa"/>
          </w:tcPr>
          <w:p w:rsidR="00DE4E75" w:rsidRDefault="00DE4E75" w:rsidP="00E51190">
            <w:pPr>
              <w:pStyle w:val="TableBody"/>
              <w:jc w:val="right"/>
              <w:rPr>
                <w:rFonts w:ascii="Arial" w:hAnsi="Arial"/>
                <w:b/>
                <w:sz w:val="26"/>
              </w:rPr>
            </w:pPr>
            <w:r>
              <w:rPr>
                <w:rFonts w:ascii="Arial" w:hAnsi="Arial"/>
                <w:b/>
                <w:sz w:val="26"/>
              </w:rPr>
              <w:t>20</w:t>
            </w:r>
          </w:p>
        </w:tc>
        <w:tc>
          <w:tcPr>
            <w:tcW w:w="7968" w:type="dxa"/>
          </w:tcPr>
          <w:p w:rsidR="00DE4E75" w:rsidRDefault="00DE4E75" w:rsidP="00E51190">
            <w:pPr>
              <w:pStyle w:val="TableBody"/>
              <w:rPr>
                <w:rFonts w:ascii="Arial" w:hAnsi="Arial"/>
                <w:b/>
                <w:sz w:val="26"/>
              </w:rPr>
            </w:pPr>
            <w:r>
              <w:rPr>
                <w:rFonts w:ascii="Arial" w:hAnsi="Arial"/>
                <w:b/>
                <w:sz w:val="26"/>
              </w:rPr>
              <w:t>Sold 500 of the treasury shares at $38 per share.</w:t>
            </w:r>
          </w:p>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r>
              <w:rPr>
                <w:rFonts w:ascii="Arial" w:hAnsi="Arial"/>
                <w:b/>
                <w:sz w:val="26"/>
              </w:rPr>
              <w:t>Dec.</w:t>
            </w:r>
          </w:p>
        </w:tc>
        <w:tc>
          <w:tcPr>
            <w:tcW w:w="546" w:type="dxa"/>
          </w:tcPr>
          <w:p w:rsidR="00DE4E75" w:rsidRDefault="00DE4E75" w:rsidP="00E51190">
            <w:pPr>
              <w:pStyle w:val="TableBody"/>
              <w:jc w:val="right"/>
              <w:rPr>
                <w:rFonts w:ascii="Arial" w:hAnsi="Arial"/>
                <w:b/>
                <w:sz w:val="26"/>
              </w:rPr>
            </w:pPr>
            <w:r>
              <w:rPr>
                <w:rFonts w:ascii="Arial" w:hAnsi="Arial"/>
                <w:b/>
                <w:sz w:val="26"/>
              </w:rPr>
              <w:t>15</w:t>
            </w:r>
          </w:p>
        </w:tc>
        <w:tc>
          <w:tcPr>
            <w:tcW w:w="7968" w:type="dxa"/>
          </w:tcPr>
          <w:p w:rsidR="00DE4E75" w:rsidRDefault="00DE4E75" w:rsidP="00E51190">
            <w:pPr>
              <w:pStyle w:val="TableBody"/>
              <w:rPr>
                <w:rFonts w:ascii="Arial" w:hAnsi="Arial"/>
                <w:b/>
                <w:sz w:val="26"/>
              </w:rPr>
            </w:pPr>
            <w:r>
              <w:rPr>
                <w:rFonts w:ascii="Arial" w:hAnsi="Arial"/>
                <w:b/>
                <w:sz w:val="26"/>
              </w:rPr>
              <w:t>The directors voted a $0.50 per share cash dividend payable on January 20 to the January 15 stockholders of record, and they voted a 2% stock dividend distributable on January 30 to the January 20 stockholders of record. The market value of the stock was $40 per share.</w:t>
            </w:r>
          </w:p>
        </w:tc>
      </w:tr>
      <w:tr w:rsidR="00DE4E75" w:rsidTr="00E51190">
        <w:tc>
          <w:tcPr>
            <w:tcW w:w="864" w:type="dxa"/>
          </w:tcPr>
          <w:p w:rsidR="00DE4E75" w:rsidRDefault="00DE4E75" w:rsidP="00E51190">
            <w:pPr>
              <w:pStyle w:val="TableBody"/>
              <w:rPr>
                <w:rFonts w:ascii="Arial" w:hAnsi="Arial"/>
                <w:b/>
                <w:sz w:val="26"/>
              </w:rPr>
            </w:pPr>
          </w:p>
        </w:tc>
        <w:tc>
          <w:tcPr>
            <w:tcW w:w="546" w:type="dxa"/>
          </w:tcPr>
          <w:p w:rsidR="00DE4E75" w:rsidRDefault="00DE4E75" w:rsidP="00E51190">
            <w:pPr>
              <w:pStyle w:val="TableBody"/>
              <w:jc w:val="right"/>
              <w:rPr>
                <w:rFonts w:ascii="Arial" w:hAnsi="Arial"/>
                <w:b/>
                <w:sz w:val="26"/>
              </w:rPr>
            </w:pPr>
          </w:p>
        </w:tc>
        <w:tc>
          <w:tcPr>
            <w:tcW w:w="7968" w:type="dxa"/>
          </w:tcPr>
          <w:p w:rsidR="00DE4E75" w:rsidRDefault="00DE4E75" w:rsidP="00E51190">
            <w:pPr>
              <w:pStyle w:val="TableBody"/>
              <w:rPr>
                <w:rFonts w:ascii="Arial" w:hAnsi="Arial"/>
                <w:b/>
                <w:sz w:val="26"/>
              </w:rPr>
            </w:pPr>
          </w:p>
        </w:tc>
      </w:tr>
      <w:tr w:rsidR="00DE4E75" w:rsidTr="00E51190">
        <w:tc>
          <w:tcPr>
            <w:tcW w:w="864" w:type="dxa"/>
          </w:tcPr>
          <w:p w:rsidR="00DE4E75" w:rsidRDefault="00DE4E75" w:rsidP="00E51190">
            <w:pPr>
              <w:pStyle w:val="TableBody"/>
              <w:rPr>
                <w:rFonts w:ascii="Arial" w:hAnsi="Arial"/>
                <w:b/>
                <w:sz w:val="26"/>
              </w:rPr>
            </w:pPr>
          </w:p>
        </w:tc>
        <w:tc>
          <w:tcPr>
            <w:tcW w:w="546" w:type="dxa"/>
          </w:tcPr>
          <w:p w:rsidR="00DE4E75" w:rsidRDefault="00DE4E75" w:rsidP="00E51190">
            <w:pPr>
              <w:pStyle w:val="TableBody"/>
              <w:jc w:val="right"/>
              <w:rPr>
                <w:rFonts w:ascii="Arial" w:hAnsi="Arial"/>
                <w:b/>
                <w:sz w:val="26"/>
              </w:rPr>
            </w:pPr>
            <w:r>
              <w:rPr>
                <w:rFonts w:ascii="Arial" w:hAnsi="Arial"/>
                <w:b/>
                <w:sz w:val="26"/>
              </w:rPr>
              <w:t>31</w:t>
            </w:r>
          </w:p>
        </w:tc>
        <w:tc>
          <w:tcPr>
            <w:tcW w:w="7968" w:type="dxa"/>
          </w:tcPr>
          <w:p w:rsidR="00DE4E75" w:rsidRDefault="00DE4E75" w:rsidP="00E51190">
            <w:pPr>
              <w:pStyle w:val="TableBody"/>
              <w:rPr>
                <w:rFonts w:ascii="Arial" w:hAnsi="Arial"/>
                <w:b/>
                <w:sz w:val="26"/>
              </w:rPr>
            </w:pPr>
            <w:r>
              <w:rPr>
                <w:rFonts w:ascii="Arial" w:hAnsi="Arial"/>
                <w:b/>
                <w:sz w:val="26"/>
              </w:rPr>
              <w:t>Closed the Income Summary account and carried the company’s $60,000 net income to Retained Earnings.</w:t>
            </w:r>
          </w:p>
          <w:p w:rsidR="00DE4E75" w:rsidRDefault="00DE4E75" w:rsidP="00E51190">
            <w:pPr>
              <w:pStyle w:val="TableBody"/>
              <w:rPr>
                <w:rFonts w:ascii="Arial" w:hAnsi="Arial"/>
                <w:b/>
                <w:sz w:val="26"/>
              </w:rPr>
            </w:pPr>
          </w:p>
        </w:tc>
      </w:tr>
    </w:tbl>
    <w:p w:rsidR="00DE4E75" w:rsidRDefault="00DE4E75" w:rsidP="00DE4E75">
      <w:pPr>
        <w:pStyle w:val="BodyText"/>
        <w:rPr>
          <w:rFonts w:ascii="Arial" w:hAnsi="Arial"/>
          <w:b/>
          <w:sz w:val="26"/>
        </w:rPr>
      </w:pPr>
    </w:p>
    <w:p w:rsidR="00DE4E75" w:rsidRDefault="00DE4E75" w:rsidP="00DE4E75">
      <w:pPr>
        <w:pStyle w:val="BodyText"/>
        <w:rPr>
          <w:rFonts w:ascii="Arial" w:hAnsi="Arial"/>
          <w:b/>
          <w:sz w:val="26"/>
        </w:rPr>
      </w:pPr>
      <w:r>
        <w:rPr>
          <w:rFonts w:ascii="Arial" w:hAnsi="Arial"/>
          <w:b/>
          <w:sz w:val="26"/>
        </w:rPr>
        <w:t>Required:</w:t>
      </w:r>
    </w:p>
    <w:p w:rsidR="00DE4E75" w:rsidRDefault="00DE4E75" w:rsidP="00DE4E75">
      <w:pPr>
        <w:pStyle w:val="ListNumber"/>
        <w:numPr>
          <w:ilvl w:val="0"/>
          <w:numId w:val="1"/>
        </w:numPr>
        <w:rPr>
          <w:rFonts w:ascii="Arial" w:hAnsi="Arial"/>
          <w:b/>
          <w:sz w:val="26"/>
        </w:rPr>
      </w:pPr>
      <w:r>
        <w:rPr>
          <w:rFonts w:ascii="Arial" w:hAnsi="Arial"/>
          <w:b/>
          <w:sz w:val="26"/>
        </w:rPr>
        <w:t>Prepare general journal entries to record the transactions.</w:t>
      </w:r>
    </w:p>
    <w:p w:rsidR="00DE4E75" w:rsidRDefault="00DE4E75" w:rsidP="00DE4E75">
      <w:pPr>
        <w:pStyle w:val="ListNumber"/>
        <w:numPr>
          <w:ilvl w:val="0"/>
          <w:numId w:val="1"/>
        </w:numPr>
        <w:rPr>
          <w:rFonts w:ascii="Arial" w:hAnsi="Arial"/>
          <w:b/>
          <w:sz w:val="26"/>
        </w:rPr>
      </w:pPr>
      <w:r>
        <w:rPr>
          <w:rFonts w:ascii="Arial" w:hAnsi="Arial"/>
          <w:b/>
          <w:sz w:val="26"/>
        </w:rPr>
        <w:t>Prepare a retained earnings statement for the year and the stockholders’ equity section of the company’s year-end balance sheet.</w:t>
      </w:r>
    </w:p>
    <w:p w:rsidR="00DE4E75" w:rsidRDefault="00DE4E75" w:rsidP="00DE4E75">
      <w:pPr>
        <w:pStyle w:val="tableheadscenter"/>
        <w:rPr>
          <w:sz w:val="26"/>
        </w:rPr>
      </w:pPr>
      <w:r>
        <w:rPr>
          <w:sz w:val="28"/>
        </w:rPr>
        <w:br w:type="page"/>
      </w:r>
      <w:r>
        <w:rPr>
          <w:sz w:val="26"/>
        </w:rPr>
        <w:lastRenderedPageBreak/>
        <w:t>Chapter 11 Solution: Alternate Demonstration Problem #2</w:t>
      </w:r>
    </w:p>
    <w:p w:rsidR="00DE4E75" w:rsidRDefault="00DE4E75" w:rsidP="00DE4E75">
      <w:pPr>
        <w:pStyle w:val="tableheadscenter"/>
      </w:pPr>
    </w:p>
    <w:tbl>
      <w:tblPr>
        <w:tblW w:w="0" w:type="auto"/>
        <w:tblLayout w:type="fixed"/>
        <w:tblLook w:val="0000"/>
      </w:tblPr>
      <w:tblGrid>
        <w:gridCol w:w="1084"/>
        <w:gridCol w:w="650"/>
        <w:gridCol w:w="5530"/>
        <w:gridCol w:w="1156"/>
        <w:gridCol w:w="1156"/>
      </w:tblGrid>
      <w:tr w:rsidR="00DE4E75" w:rsidTr="00E51190">
        <w:tc>
          <w:tcPr>
            <w:tcW w:w="1084" w:type="dxa"/>
          </w:tcPr>
          <w:p w:rsidR="00DE4E75" w:rsidRDefault="00DE4E75" w:rsidP="00E51190">
            <w:pPr>
              <w:pStyle w:val="TableBody"/>
              <w:rPr>
                <w:rFonts w:ascii="Arial" w:hAnsi="Arial"/>
                <w:b/>
                <w:sz w:val="26"/>
              </w:rPr>
            </w:pPr>
            <w:r>
              <w:rPr>
                <w:rFonts w:ascii="Arial" w:hAnsi="Arial"/>
                <w:b/>
                <w:sz w:val="26"/>
              </w:rPr>
              <w:t>Part 1</w:t>
            </w: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r>
              <w:rPr>
                <w:rFonts w:ascii="Arial" w:hAnsi="Arial"/>
                <w:b/>
                <w:sz w:val="26"/>
              </w:rPr>
              <w:t>June</w:t>
            </w:r>
          </w:p>
        </w:tc>
        <w:tc>
          <w:tcPr>
            <w:tcW w:w="650" w:type="dxa"/>
          </w:tcPr>
          <w:p w:rsidR="00DE4E75" w:rsidRDefault="00DE4E75" w:rsidP="00E51190">
            <w:pPr>
              <w:pStyle w:val="TableBody"/>
              <w:rPr>
                <w:rFonts w:ascii="Arial" w:hAnsi="Arial"/>
                <w:b/>
                <w:sz w:val="26"/>
              </w:rPr>
            </w:pPr>
            <w:r>
              <w:rPr>
                <w:rFonts w:ascii="Arial" w:hAnsi="Arial"/>
                <w:b/>
                <w:sz w:val="26"/>
              </w:rPr>
              <w:t>6</w:t>
            </w: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Treasury Stock, Common</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40,000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Cash</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40,000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r>
              <w:rPr>
                <w:rFonts w:ascii="Arial" w:hAnsi="Arial"/>
                <w:b/>
                <w:sz w:val="26"/>
              </w:rPr>
              <w:t>23</w:t>
            </w: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Retained Earnings</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11,500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Common Dividend Payable</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11,500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r>
              <w:rPr>
                <w:rFonts w:ascii="Arial" w:hAnsi="Arial"/>
                <w:b/>
                <w:sz w:val="26"/>
              </w:rPr>
              <w:t xml:space="preserve">July </w:t>
            </w:r>
          </w:p>
        </w:tc>
        <w:tc>
          <w:tcPr>
            <w:tcW w:w="650" w:type="dxa"/>
          </w:tcPr>
          <w:p w:rsidR="00DE4E75" w:rsidRDefault="00DE4E75" w:rsidP="00E51190">
            <w:pPr>
              <w:pStyle w:val="TableBody"/>
              <w:rPr>
                <w:rFonts w:ascii="Arial" w:hAnsi="Arial"/>
                <w:b/>
                <w:sz w:val="26"/>
              </w:rPr>
            </w:pPr>
            <w:r>
              <w:rPr>
                <w:rFonts w:ascii="Arial" w:hAnsi="Arial"/>
                <w:b/>
                <w:sz w:val="26"/>
              </w:rPr>
              <w:t>25</w:t>
            </w: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Common Dividend Payable</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11,500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Cash</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11,500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r>
              <w:rPr>
                <w:rFonts w:ascii="Arial" w:hAnsi="Arial"/>
                <w:b/>
                <w:sz w:val="26"/>
              </w:rPr>
              <w:t>Aug.</w:t>
            </w:r>
          </w:p>
        </w:tc>
        <w:tc>
          <w:tcPr>
            <w:tcW w:w="650" w:type="dxa"/>
          </w:tcPr>
          <w:p w:rsidR="00DE4E75" w:rsidRDefault="00DE4E75" w:rsidP="00E51190">
            <w:pPr>
              <w:pStyle w:val="TableBody"/>
              <w:rPr>
                <w:rFonts w:ascii="Arial" w:hAnsi="Arial"/>
                <w:b/>
                <w:sz w:val="26"/>
              </w:rPr>
            </w:pPr>
            <w:r>
              <w:rPr>
                <w:rFonts w:ascii="Arial" w:hAnsi="Arial"/>
                <w:b/>
                <w:sz w:val="26"/>
              </w:rPr>
              <w:t>10</w:t>
            </w:r>
          </w:p>
        </w:tc>
        <w:tc>
          <w:tcPr>
            <w:tcW w:w="5530" w:type="dxa"/>
          </w:tcPr>
          <w:p w:rsidR="00DE4E75" w:rsidRDefault="00DE4E75" w:rsidP="00E51190">
            <w:pPr>
              <w:pStyle w:val="TableBody"/>
              <w:tabs>
                <w:tab w:val="left" w:leader="dot" w:pos="5112"/>
              </w:tabs>
              <w:rPr>
                <w:rFonts w:ascii="Arial" w:hAnsi="Arial"/>
                <w:b/>
                <w:sz w:val="26"/>
              </w:rPr>
            </w:pPr>
            <w:r>
              <w:rPr>
                <w:rFonts w:ascii="Arial" w:hAnsi="Arial"/>
                <w:b/>
                <w:sz w:val="26"/>
              </w:rPr>
              <w:t>Cash</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22,500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Treasury Stock, Common</w:t>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20,000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 xml:space="preserve">Paid-In Capital, Treasury Stock </w:t>
            </w:r>
            <w:r>
              <w:rPr>
                <w:rFonts w:ascii="Arial" w:hAnsi="Arial"/>
                <w:b/>
                <w:sz w:val="26"/>
              </w:rPr>
              <w:br/>
            </w:r>
            <w:r>
              <w:rPr>
                <w:rFonts w:ascii="Arial" w:hAnsi="Arial"/>
                <w:b/>
                <w:sz w:val="26"/>
              </w:rPr>
              <w:tab/>
            </w:r>
            <w:r>
              <w:rPr>
                <w:rFonts w:ascii="Arial" w:hAnsi="Arial"/>
                <w:b/>
                <w:sz w:val="26"/>
              </w:rPr>
              <w:tab/>
              <w:t>Transactions</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br/>
              <w:t>2,500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r>
              <w:rPr>
                <w:rFonts w:ascii="Arial" w:hAnsi="Arial"/>
                <w:b/>
                <w:sz w:val="26"/>
              </w:rPr>
              <w:t>Oct.</w:t>
            </w:r>
          </w:p>
        </w:tc>
        <w:tc>
          <w:tcPr>
            <w:tcW w:w="650" w:type="dxa"/>
          </w:tcPr>
          <w:p w:rsidR="00DE4E75" w:rsidRDefault="00DE4E75" w:rsidP="00E51190">
            <w:pPr>
              <w:pStyle w:val="TableBody"/>
              <w:rPr>
                <w:rFonts w:ascii="Arial" w:hAnsi="Arial"/>
                <w:b/>
                <w:sz w:val="26"/>
              </w:rPr>
            </w:pPr>
            <w:r>
              <w:rPr>
                <w:rFonts w:ascii="Arial" w:hAnsi="Arial"/>
                <w:b/>
                <w:sz w:val="26"/>
              </w:rPr>
              <w:t>20</w:t>
            </w:r>
          </w:p>
        </w:tc>
        <w:tc>
          <w:tcPr>
            <w:tcW w:w="5530" w:type="dxa"/>
          </w:tcPr>
          <w:p w:rsidR="00DE4E75" w:rsidRDefault="00DE4E75" w:rsidP="00E51190">
            <w:pPr>
              <w:pStyle w:val="TableBody"/>
              <w:tabs>
                <w:tab w:val="left" w:leader="dot" w:pos="5112"/>
              </w:tabs>
              <w:rPr>
                <w:rFonts w:ascii="Arial" w:hAnsi="Arial"/>
                <w:b/>
                <w:sz w:val="26"/>
              </w:rPr>
            </w:pPr>
            <w:r>
              <w:rPr>
                <w:rFonts w:ascii="Arial" w:hAnsi="Arial"/>
                <w:b/>
                <w:sz w:val="26"/>
              </w:rPr>
              <w:t>Cash</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19,000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 xml:space="preserve">Paid-In Capital, Treasury Stock </w:t>
            </w:r>
            <w:r>
              <w:rPr>
                <w:rFonts w:ascii="Arial" w:hAnsi="Arial"/>
                <w:b/>
                <w:sz w:val="26"/>
              </w:rPr>
              <w:br/>
            </w:r>
            <w:r>
              <w:rPr>
                <w:rFonts w:ascii="Arial" w:hAnsi="Arial"/>
                <w:b/>
                <w:sz w:val="26"/>
              </w:rPr>
              <w:tab/>
            </w:r>
            <w:r>
              <w:rPr>
                <w:rFonts w:ascii="Arial" w:hAnsi="Arial"/>
                <w:b/>
                <w:sz w:val="26"/>
              </w:rPr>
              <w:tab/>
              <w:t>Transactions</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br/>
              <w:t>1,000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Treasury Stock, Common</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20,000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r>
              <w:rPr>
                <w:rFonts w:ascii="Arial" w:hAnsi="Arial"/>
                <w:b/>
                <w:sz w:val="26"/>
              </w:rPr>
              <w:t>Dec.</w:t>
            </w:r>
          </w:p>
        </w:tc>
        <w:tc>
          <w:tcPr>
            <w:tcW w:w="650" w:type="dxa"/>
          </w:tcPr>
          <w:p w:rsidR="00DE4E75" w:rsidRDefault="00DE4E75" w:rsidP="00E51190">
            <w:pPr>
              <w:pStyle w:val="TableBody"/>
              <w:rPr>
                <w:rFonts w:ascii="Arial" w:hAnsi="Arial"/>
                <w:b/>
                <w:sz w:val="26"/>
              </w:rPr>
            </w:pPr>
            <w:r>
              <w:rPr>
                <w:rFonts w:ascii="Arial" w:hAnsi="Arial"/>
                <w:b/>
                <w:sz w:val="26"/>
              </w:rPr>
              <w:t>15</w:t>
            </w: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Retained Earnings</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31,200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Common Dividend Payable</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12,000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Common Stock Dividend Distributable.</w:t>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12,000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 xml:space="preserve">Paid-In Capital in Excess of Value </w:t>
            </w:r>
            <w:r>
              <w:rPr>
                <w:rFonts w:ascii="Arial" w:hAnsi="Arial"/>
                <w:b/>
                <w:sz w:val="26"/>
              </w:rPr>
              <w:tab/>
            </w:r>
            <w:r>
              <w:rPr>
                <w:rFonts w:ascii="Arial" w:hAnsi="Arial"/>
                <w:b/>
                <w:sz w:val="26"/>
              </w:rPr>
              <w:tab/>
              <w:t>Common Stock</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br/>
              <w:t>7,200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r>
              <w:rPr>
                <w:rFonts w:ascii="Arial" w:hAnsi="Arial"/>
                <w:b/>
                <w:sz w:val="26"/>
              </w:rPr>
              <w:t>31</w:t>
            </w: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Income Summary</w:t>
            </w:r>
            <w:r>
              <w:rPr>
                <w:rFonts w:ascii="Arial" w:hAnsi="Arial"/>
                <w:b/>
                <w:sz w:val="26"/>
              </w:rPr>
              <w:tab/>
            </w:r>
          </w:p>
        </w:tc>
        <w:tc>
          <w:tcPr>
            <w:tcW w:w="1156" w:type="dxa"/>
          </w:tcPr>
          <w:p w:rsidR="00DE4E75" w:rsidRDefault="00DE4E75" w:rsidP="00E51190">
            <w:pPr>
              <w:pStyle w:val="TableBody"/>
              <w:jc w:val="right"/>
              <w:rPr>
                <w:rFonts w:ascii="Arial" w:hAnsi="Arial"/>
                <w:b/>
                <w:sz w:val="26"/>
              </w:rPr>
            </w:pPr>
            <w:r>
              <w:rPr>
                <w:rFonts w:ascii="Arial" w:hAnsi="Arial"/>
                <w:b/>
                <w:sz w:val="26"/>
              </w:rPr>
              <w:t>60,000</w:t>
            </w:r>
          </w:p>
        </w:tc>
        <w:tc>
          <w:tcPr>
            <w:tcW w:w="1156" w:type="dxa"/>
          </w:tcPr>
          <w:p w:rsidR="00DE4E75" w:rsidRDefault="00DE4E75" w:rsidP="00E51190">
            <w:pPr>
              <w:pStyle w:val="TableBody"/>
              <w:jc w:val="right"/>
              <w:rPr>
                <w:rFonts w:ascii="Arial" w:hAnsi="Arial"/>
                <w:b/>
                <w:sz w:val="26"/>
              </w:rPr>
            </w:pP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r>
              <w:rPr>
                <w:rFonts w:ascii="Arial" w:hAnsi="Arial"/>
                <w:b/>
                <w:sz w:val="26"/>
              </w:rPr>
              <w:tab/>
              <w:t>Retained Earnings</w:t>
            </w:r>
            <w:r>
              <w:rPr>
                <w:rFonts w:ascii="Arial" w:hAnsi="Arial"/>
                <w:b/>
                <w:sz w:val="26"/>
              </w:rPr>
              <w:tab/>
            </w: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r>
              <w:rPr>
                <w:rFonts w:ascii="Arial" w:hAnsi="Arial"/>
                <w:b/>
                <w:sz w:val="26"/>
              </w:rPr>
              <w:t>60,000</w:t>
            </w:r>
          </w:p>
        </w:tc>
      </w:tr>
      <w:tr w:rsidR="00DE4E75" w:rsidTr="00E51190">
        <w:tc>
          <w:tcPr>
            <w:tcW w:w="1084" w:type="dxa"/>
          </w:tcPr>
          <w:p w:rsidR="00DE4E75" w:rsidRDefault="00DE4E75" w:rsidP="00E51190">
            <w:pPr>
              <w:pStyle w:val="TableBody"/>
              <w:rPr>
                <w:rFonts w:ascii="Arial" w:hAnsi="Arial"/>
                <w:b/>
                <w:sz w:val="26"/>
              </w:rPr>
            </w:pPr>
          </w:p>
        </w:tc>
        <w:tc>
          <w:tcPr>
            <w:tcW w:w="650" w:type="dxa"/>
          </w:tcPr>
          <w:p w:rsidR="00DE4E75" w:rsidRDefault="00DE4E75" w:rsidP="00E51190">
            <w:pPr>
              <w:pStyle w:val="TableBody"/>
              <w:rPr>
                <w:rFonts w:ascii="Arial" w:hAnsi="Arial"/>
                <w:b/>
                <w:sz w:val="26"/>
              </w:rPr>
            </w:pPr>
          </w:p>
        </w:tc>
        <w:tc>
          <w:tcPr>
            <w:tcW w:w="5530" w:type="dxa"/>
          </w:tcPr>
          <w:p w:rsidR="00DE4E75" w:rsidRDefault="00DE4E75" w:rsidP="00E51190">
            <w:pPr>
              <w:pStyle w:val="TableBody"/>
              <w:tabs>
                <w:tab w:val="left" w:pos="432"/>
                <w:tab w:val="left" w:pos="720"/>
                <w:tab w:val="left" w:leader="dot" w:pos="5112"/>
              </w:tabs>
              <w:rPr>
                <w:rFonts w:ascii="Arial" w:hAnsi="Arial"/>
                <w:b/>
                <w:sz w:val="26"/>
              </w:rPr>
            </w:pPr>
          </w:p>
        </w:tc>
        <w:tc>
          <w:tcPr>
            <w:tcW w:w="1156" w:type="dxa"/>
          </w:tcPr>
          <w:p w:rsidR="00DE4E75" w:rsidRDefault="00DE4E75" w:rsidP="00E51190">
            <w:pPr>
              <w:pStyle w:val="TableBody"/>
              <w:jc w:val="right"/>
              <w:rPr>
                <w:rFonts w:ascii="Arial" w:hAnsi="Arial"/>
                <w:b/>
                <w:sz w:val="26"/>
              </w:rPr>
            </w:pPr>
          </w:p>
        </w:tc>
        <w:tc>
          <w:tcPr>
            <w:tcW w:w="1156" w:type="dxa"/>
          </w:tcPr>
          <w:p w:rsidR="00DE4E75" w:rsidRDefault="00DE4E75" w:rsidP="00E51190">
            <w:pPr>
              <w:pStyle w:val="TableBody"/>
              <w:jc w:val="right"/>
              <w:rPr>
                <w:rFonts w:ascii="Arial" w:hAnsi="Arial"/>
                <w:b/>
                <w:sz w:val="26"/>
              </w:rPr>
            </w:pPr>
          </w:p>
        </w:tc>
      </w:tr>
    </w:tbl>
    <w:p w:rsidR="00DE4E75" w:rsidRDefault="00DE4E75" w:rsidP="00DE4E75">
      <w:pPr>
        <w:pStyle w:val="TableBody"/>
        <w:rPr>
          <w:rFonts w:ascii="Arial" w:hAnsi="Arial"/>
          <w:b/>
          <w:sz w:val="26"/>
        </w:rPr>
      </w:pPr>
    </w:p>
    <w:p w:rsidR="00DE4E75" w:rsidRDefault="00DE4E75" w:rsidP="00DE4E75">
      <w:pPr>
        <w:pStyle w:val="BodyText"/>
        <w:tabs>
          <w:tab w:val="right" w:pos="1080"/>
          <w:tab w:val="left" w:pos="1440"/>
          <w:tab w:val="left" w:pos="1800"/>
          <w:tab w:val="left" w:leader="dot" w:pos="6480"/>
          <w:tab w:val="right" w:pos="7920"/>
          <w:tab w:val="right" w:pos="9360"/>
        </w:tabs>
        <w:rPr>
          <w:rFonts w:ascii="Arial" w:hAnsi="Arial"/>
          <w:b/>
          <w:sz w:val="26"/>
        </w:rPr>
      </w:pPr>
      <w:r>
        <w:rPr>
          <w:b/>
        </w:rPr>
        <w:br w:type="page"/>
      </w:r>
      <w:r>
        <w:rPr>
          <w:rFonts w:ascii="Arial" w:hAnsi="Arial"/>
          <w:b/>
          <w:sz w:val="26"/>
        </w:rPr>
        <w:lastRenderedPageBreak/>
        <w:t>Part 2</w:t>
      </w:r>
    </w:p>
    <w:tbl>
      <w:tblPr>
        <w:tblW w:w="0" w:type="auto"/>
        <w:tblLayout w:type="fixed"/>
        <w:tblLook w:val="0000"/>
      </w:tblPr>
      <w:tblGrid>
        <w:gridCol w:w="6480"/>
        <w:gridCol w:w="1440"/>
        <w:gridCol w:w="1446"/>
      </w:tblGrid>
      <w:tr w:rsidR="00DE4E75" w:rsidTr="00E51190">
        <w:trPr>
          <w:cantSplit/>
        </w:trPr>
        <w:tc>
          <w:tcPr>
            <w:tcW w:w="9366" w:type="dxa"/>
            <w:gridSpan w:val="3"/>
          </w:tcPr>
          <w:p w:rsidR="00DE4E75" w:rsidRDefault="00DE4E75" w:rsidP="00E51190">
            <w:pPr>
              <w:pStyle w:val="tableheadscenter"/>
              <w:rPr>
                <w:sz w:val="26"/>
              </w:rPr>
            </w:pPr>
            <w:r>
              <w:rPr>
                <w:sz w:val="26"/>
              </w:rPr>
              <w:t>AUSTIN CORPORATION</w:t>
            </w:r>
            <w:r>
              <w:rPr>
                <w:sz w:val="26"/>
              </w:rPr>
              <w:br/>
              <w:t>Statement of Retained Earnings</w:t>
            </w:r>
            <w:r>
              <w:rPr>
                <w:sz w:val="26"/>
              </w:rPr>
              <w:br/>
              <w:t>For Year Ended December 31, 2021</w:t>
            </w:r>
          </w:p>
          <w:p w:rsidR="00DE4E75" w:rsidRDefault="00DE4E75" w:rsidP="00E51190">
            <w:pPr>
              <w:pStyle w:val="tableheadscenter"/>
              <w:rPr>
                <w:sz w:val="26"/>
              </w:rPr>
            </w:pP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Retained earnings, January 1, 2021</w:t>
            </w:r>
            <w:r>
              <w:rPr>
                <w:rFonts w:ascii="Arial" w:hAnsi="Arial"/>
                <w:b/>
                <w:sz w:val="26"/>
              </w:rPr>
              <w:tab/>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rPr>
            </w:pPr>
            <w:r>
              <w:rPr>
                <w:rFonts w:ascii="Arial" w:hAnsi="Arial"/>
                <w:b/>
                <w:sz w:val="26"/>
              </w:rPr>
              <w:t>$230,000</w:t>
            </w: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Additions:</w:t>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rPr>
            </w:pP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ab/>
              <w:t>Net income for year</w:t>
            </w:r>
            <w:r>
              <w:rPr>
                <w:rFonts w:ascii="Arial" w:hAnsi="Arial"/>
                <w:b/>
                <w:sz w:val="26"/>
              </w:rPr>
              <w:tab/>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60,000</w:t>
            </w: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ab/>
            </w:r>
            <w:r>
              <w:rPr>
                <w:rFonts w:ascii="Arial" w:hAnsi="Arial"/>
                <w:b/>
                <w:sz w:val="26"/>
              </w:rPr>
              <w:tab/>
              <w:t>Total</w:t>
            </w:r>
            <w:r>
              <w:rPr>
                <w:rFonts w:ascii="Arial" w:hAnsi="Arial"/>
                <w:b/>
                <w:sz w:val="26"/>
              </w:rPr>
              <w:tab/>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rPr>
            </w:pPr>
            <w:r>
              <w:rPr>
                <w:rFonts w:ascii="Arial" w:hAnsi="Arial"/>
                <w:b/>
                <w:sz w:val="26"/>
              </w:rPr>
              <w:t>290,000</w:t>
            </w: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Deductions:</w:t>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rPr>
            </w:pP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ab/>
              <w:t>Cash dividends declared</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t>$23,500</w:t>
            </w:r>
          </w:p>
        </w:tc>
        <w:tc>
          <w:tcPr>
            <w:tcW w:w="1446" w:type="dxa"/>
          </w:tcPr>
          <w:p w:rsidR="00DE4E75" w:rsidRDefault="00DE4E75" w:rsidP="00E51190">
            <w:pPr>
              <w:pStyle w:val="TableBody"/>
              <w:jc w:val="right"/>
              <w:rPr>
                <w:rFonts w:ascii="Arial" w:hAnsi="Arial"/>
                <w:b/>
                <w:sz w:val="26"/>
              </w:rPr>
            </w:pP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ab/>
              <w:t>Stock dividends declared</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19,200</w:t>
            </w:r>
          </w:p>
        </w:tc>
        <w:tc>
          <w:tcPr>
            <w:tcW w:w="1446"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42,700</w:t>
            </w:r>
          </w:p>
        </w:tc>
      </w:tr>
      <w:tr w:rsidR="00DE4E75" w:rsidTr="00E51190">
        <w:tc>
          <w:tcPr>
            <w:tcW w:w="6480" w:type="dxa"/>
          </w:tcPr>
          <w:p w:rsidR="00DE4E75" w:rsidRDefault="00DE4E75" w:rsidP="00E51190">
            <w:pPr>
              <w:pStyle w:val="TableBody"/>
              <w:tabs>
                <w:tab w:val="left" w:pos="432"/>
                <w:tab w:val="left" w:pos="720"/>
                <w:tab w:val="left" w:leader="dot" w:pos="6120"/>
              </w:tabs>
              <w:rPr>
                <w:rFonts w:ascii="Arial" w:hAnsi="Arial"/>
                <w:b/>
                <w:sz w:val="26"/>
              </w:rPr>
            </w:pPr>
            <w:r>
              <w:rPr>
                <w:rFonts w:ascii="Arial" w:hAnsi="Arial"/>
                <w:b/>
                <w:sz w:val="26"/>
              </w:rPr>
              <w:t>Retained earnings, December 31, 2021</w:t>
            </w:r>
            <w:r>
              <w:rPr>
                <w:rFonts w:ascii="Arial" w:hAnsi="Arial"/>
                <w:b/>
                <w:sz w:val="26"/>
              </w:rPr>
              <w:tab/>
            </w:r>
          </w:p>
        </w:tc>
        <w:tc>
          <w:tcPr>
            <w:tcW w:w="1440" w:type="dxa"/>
          </w:tcPr>
          <w:p w:rsidR="00DE4E75" w:rsidRDefault="00DE4E75" w:rsidP="00E51190">
            <w:pPr>
              <w:pStyle w:val="TableBody"/>
              <w:jc w:val="right"/>
              <w:rPr>
                <w:rFonts w:ascii="Arial" w:hAnsi="Arial"/>
                <w:b/>
                <w:sz w:val="26"/>
              </w:rPr>
            </w:pPr>
          </w:p>
        </w:tc>
        <w:tc>
          <w:tcPr>
            <w:tcW w:w="1446" w:type="dxa"/>
          </w:tcPr>
          <w:p w:rsidR="00DE4E75" w:rsidRDefault="00DE4E75" w:rsidP="00E51190">
            <w:pPr>
              <w:pStyle w:val="TableBody"/>
              <w:jc w:val="right"/>
              <w:rPr>
                <w:rFonts w:ascii="Arial" w:hAnsi="Arial"/>
                <w:b/>
                <w:sz w:val="26"/>
                <w:u w:val="double"/>
              </w:rPr>
            </w:pPr>
            <w:r>
              <w:rPr>
                <w:rFonts w:ascii="Arial" w:hAnsi="Arial"/>
                <w:b/>
                <w:sz w:val="26"/>
                <w:u w:val="double"/>
              </w:rPr>
              <w:t>$247,300</w:t>
            </w:r>
          </w:p>
        </w:tc>
      </w:tr>
    </w:tbl>
    <w:p w:rsidR="00DE4E75" w:rsidRDefault="00DE4E75" w:rsidP="00DE4E75">
      <w:pPr>
        <w:pStyle w:val="BodyText"/>
        <w:tabs>
          <w:tab w:val="left" w:pos="360"/>
          <w:tab w:val="left" w:pos="720"/>
          <w:tab w:val="left" w:pos="1440"/>
          <w:tab w:val="left" w:leader="dot" w:pos="6480"/>
          <w:tab w:val="right" w:pos="7920"/>
          <w:tab w:val="right" w:pos="9360"/>
        </w:tabs>
        <w:rPr>
          <w:rFonts w:ascii="Arial" w:hAnsi="Arial"/>
          <w:b/>
          <w:sz w:val="26"/>
        </w:rPr>
      </w:pPr>
    </w:p>
    <w:p w:rsidR="00DE4E75" w:rsidRDefault="00DE4E75" w:rsidP="00DE4E75">
      <w:pPr>
        <w:pStyle w:val="BodyText"/>
        <w:tabs>
          <w:tab w:val="left" w:pos="360"/>
          <w:tab w:val="left" w:pos="720"/>
          <w:tab w:val="left" w:pos="1440"/>
          <w:tab w:val="left" w:leader="dot" w:pos="6480"/>
          <w:tab w:val="right" w:pos="7920"/>
          <w:tab w:val="right" w:pos="9360"/>
        </w:tabs>
        <w:rPr>
          <w:rFonts w:ascii="Arial" w:hAnsi="Arial"/>
          <w:b/>
          <w:sz w:val="26"/>
        </w:rPr>
      </w:pPr>
    </w:p>
    <w:p w:rsidR="00DE4E75" w:rsidRDefault="00DE4E75" w:rsidP="00DE4E75">
      <w:pPr>
        <w:pStyle w:val="BodyText"/>
        <w:tabs>
          <w:tab w:val="left" w:pos="360"/>
          <w:tab w:val="left" w:pos="720"/>
          <w:tab w:val="left" w:pos="1440"/>
          <w:tab w:val="left" w:leader="dot" w:pos="6480"/>
          <w:tab w:val="right" w:pos="7920"/>
          <w:tab w:val="right" w:pos="9360"/>
        </w:tabs>
        <w:jc w:val="center"/>
        <w:rPr>
          <w:rFonts w:ascii="Arial" w:hAnsi="Arial"/>
          <w:b/>
          <w:sz w:val="26"/>
        </w:rPr>
      </w:pPr>
      <w:r>
        <w:rPr>
          <w:rFonts w:ascii="Arial" w:hAnsi="Arial"/>
          <w:b/>
          <w:sz w:val="26"/>
        </w:rPr>
        <w:t>Stockholders’ Equity</w:t>
      </w:r>
    </w:p>
    <w:tbl>
      <w:tblPr>
        <w:tblW w:w="0" w:type="auto"/>
        <w:tblLayout w:type="fixed"/>
        <w:tblLook w:val="0000"/>
      </w:tblPr>
      <w:tblGrid>
        <w:gridCol w:w="7920"/>
        <w:gridCol w:w="1440"/>
      </w:tblGrid>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 xml:space="preserve">Common stock, $25 par value, 30,000 shares authorized, </w:t>
            </w:r>
            <w:r>
              <w:rPr>
                <w:rFonts w:ascii="Arial" w:hAnsi="Arial"/>
                <w:b/>
                <w:sz w:val="26"/>
              </w:rPr>
              <w:br/>
            </w:r>
            <w:r>
              <w:rPr>
                <w:rFonts w:ascii="Arial" w:hAnsi="Arial"/>
                <w:b/>
                <w:sz w:val="26"/>
              </w:rPr>
              <w:tab/>
            </w:r>
            <w:r>
              <w:rPr>
                <w:rFonts w:ascii="Arial" w:hAnsi="Arial"/>
                <w:b/>
                <w:sz w:val="26"/>
              </w:rPr>
              <w:tab/>
              <w:t>24,000 shares issued</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br/>
              <w:t>$600,000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Common stock dividend distributable, 480 shares</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12,000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ab/>
              <w:t>Total common stock issued and to be issued</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t>612,000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Paid-in capital in excess of par value, common stock</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97,200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ab/>
            </w:r>
            <w:r>
              <w:rPr>
                <w:rFonts w:ascii="Arial" w:hAnsi="Arial"/>
                <w:b/>
                <w:sz w:val="26"/>
              </w:rPr>
              <w:tab/>
            </w:r>
            <w:r>
              <w:rPr>
                <w:rFonts w:ascii="Arial" w:hAnsi="Arial"/>
                <w:b/>
                <w:sz w:val="26"/>
              </w:rPr>
              <w:tab/>
              <w:t>Total capital paid-in by common stockholders</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t>709,200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Other Paid-in capital:</w:t>
            </w:r>
            <w:r>
              <w:rPr>
                <w:rFonts w:ascii="Arial" w:hAnsi="Arial"/>
                <w:b/>
                <w:sz w:val="26"/>
              </w:rPr>
              <w:tab/>
            </w:r>
          </w:p>
        </w:tc>
        <w:tc>
          <w:tcPr>
            <w:tcW w:w="1440" w:type="dxa"/>
          </w:tcPr>
          <w:p w:rsidR="00DE4E75" w:rsidRDefault="00DE4E75" w:rsidP="00E51190">
            <w:pPr>
              <w:pStyle w:val="TableBody"/>
              <w:jc w:val="right"/>
              <w:rPr>
                <w:rFonts w:ascii="Arial" w:hAnsi="Arial"/>
                <w:b/>
                <w:sz w:val="26"/>
              </w:rPr>
            </w:pP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ab/>
              <w:t>Paid-in capital, treasury stock</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1,500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ab/>
            </w:r>
            <w:r>
              <w:rPr>
                <w:rFonts w:ascii="Arial" w:hAnsi="Arial"/>
                <w:b/>
                <w:sz w:val="26"/>
              </w:rPr>
              <w:tab/>
            </w:r>
            <w:r>
              <w:rPr>
                <w:rFonts w:ascii="Arial" w:hAnsi="Arial"/>
                <w:b/>
                <w:sz w:val="26"/>
              </w:rPr>
              <w:tab/>
              <w:t>Total Paid-in capital</w:t>
            </w:r>
            <w:r>
              <w:rPr>
                <w:rFonts w:ascii="Arial" w:hAnsi="Arial"/>
                <w:b/>
                <w:sz w:val="26"/>
              </w:rPr>
              <w:tab/>
            </w:r>
          </w:p>
        </w:tc>
        <w:tc>
          <w:tcPr>
            <w:tcW w:w="1440" w:type="dxa"/>
          </w:tcPr>
          <w:p w:rsidR="00DE4E75" w:rsidRDefault="00DE4E75" w:rsidP="00E51190">
            <w:pPr>
              <w:pStyle w:val="TableBody"/>
              <w:jc w:val="right"/>
              <w:rPr>
                <w:rFonts w:ascii="Arial" w:hAnsi="Arial"/>
                <w:b/>
                <w:sz w:val="26"/>
              </w:rPr>
            </w:pPr>
            <w:r>
              <w:rPr>
                <w:rFonts w:ascii="Arial" w:hAnsi="Arial"/>
                <w:b/>
                <w:sz w:val="26"/>
              </w:rPr>
              <w:t>710,700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Retained earnings</w:t>
            </w:r>
            <w:r>
              <w:rPr>
                <w:rFonts w:ascii="Arial" w:hAnsi="Arial"/>
                <w:b/>
                <w:sz w:val="26"/>
              </w:rPr>
              <w:tab/>
            </w:r>
          </w:p>
        </w:tc>
        <w:tc>
          <w:tcPr>
            <w:tcW w:w="1440" w:type="dxa"/>
          </w:tcPr>
          <w:p w:rsidR="00DE4E75" w:rsidRDefault="00DE4E75" w:rsidP="00E51190">
            <w:pPr>
              <w:pStyle w:val="TableBody"/>
              <w:jc w:val="right"/>
              <w:rPr>
                <w:rFonts w:ascii="Arial" w:hAnsi="Arial"/>
                <w:b/>
                <w:sz w:val="26"/>
                <w:u w:val="single"/>
              </w:rPr>
            </w:pPr>
            <w:r>
              <w:rPr>
                <w:rFonts w:ascii="Arial" w:hAnsi="Arial"/>
                <w:b/>
                <w:sz w:val="26"/>
                <w:u w:val="single"/>
              </w:rPr>
              <w:t xml:space="preserve">  247,300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r>
              <w:rPr>
                <w:rFonts w:ascii="Arial" w:hAnsi="Arial"/>
                <w:b/>
                <w:sz w:val="26"/>
              </w:rPr>
              <w:tab/>
            </w:r>
            <w:r>
              <w:rPr>
                <w:rFonts w:ascii="Arial" w:hAnsi="Arial"/>
                <w:b/>
                <w:sz w:val="26"/>
              </w:rPr>
              <w:tab/>
            </w:r>
            <w:r>
              <w:rPr>
                <w:rFonts w:ascii="Arial" w:hAnsi="Arial"/>
                <w:b/>
                <w:sz w:val="26"/>
              </w:rPr>
              <w:tab/>
              <w:t>Total stockholders’ equity</w:t>
            </w:r>
            <w:r>
              <w:rPr>
                <w:rFonts w:ascii="Arial" w:hAnsi="Arial"/>
                <w:b/>
                <w:sz w:val="26"/>
              </w:rPr>
              <w:tab/>
            </w:r>
          </w:p>
        </w:tc>
        <w:tc>
          <w:tcPr>
            <w:tcW w:w="1440" w:type="dxa"/>
          </w:tcPr>
          <w:p w:rsidR="00DE4E75" w:rsidRDefault="00DE4E75" w:rsidP="00E51190">
            <w:pPr>
              <w:pStyle w:val="TableBody"/>
              <w:jc w:val="right"/>
              <w:rPr>
                <w:rFonts w:ascii="Arial" w:hAnsi="Arial"/>
                <w:b/>
                <w:sz w:val="26"/>
                <w:u w:val="double"/>
              </w:rPr>
            </w:pPr>
            <w:r>
              <w:rPr>
                <w:rFonts w:ascii="Arial" w:hAnsi="Arial"/>
                <w:b/>
                <w:sz w:val="26"/>
                <w:u w:val="double"/>
              </w:rPr>
              <w:t>$958,000</w:t>
            </w:r>
          </w:p>
        </w:tc>
      </w:tr>
      <w:tr w:rsidR="00DE4E75" w:rsidTr="00E51190">
        <w:tc>
          <w:tcPr>
            <w:tcW w:w="7920" w:type="dxa"/>
          </w:tcPr>
          <w:p w:rsidR="00DE4E75" w:rsidRDefault="00DE4E75" w:rsidP="00E51190">
            <w:pPr>
              <w:pStyle w:val="TableBody"/>
              <w:tabs>
                <w:tab w:val="left" w:pos="432"/>
                <w:tab w:val="left" w:pos="720"/>
                <w:tab w:val="left" w:pos="1008"/>
                <w:tab w:val="left" w:leader="dot" w:pos="7560"/>
              </w:tabs>
              <w:rPr>
                <w:rFonts w:ascii="Arial" w:hAnsi="Arial"/>
                <w:b/>
                <w:sz w:val="26"/>
              </w:rPr>
            </w:pPr>
          </w:p>
        </w:tc>
        <w:tc>
          <w:tcPr>
            <w:tcW w:w="1440" w:type="dxa"/>
          </w:tcPr>
          <w:p w:rsidR="00DE4E75" w:rsidRDefault="00DE4E75" w:rsidP="00E51190">
            <w:pPr>
              <w:pStyle w:val="TableBody"/>
              <w:jc w:val="right"/>
              <w:rPr>
                <w:rFonts w:ascii="Arial" w:hAnsi="Arial"/>
                <w:b/>
                <w:sz w:val="26"/>
              </w:rPr>
            </w:pPr>
          </w:p>
        </w:tc>
      </w:tr>
    </w:tbl>
    <w:p w:rsidR="00DE4E75" w:rsidRDefault="00DE4E75" w:rsidP="00DE4E75">
      <w:pPr>
        <w:pStyle w:val="TableBody"/>
      </w:pPr>
      <w:r>
        <w:rPr>
          <w:noProof/>
        </w:rPr>
        <w:pict>
          <v:line id="Line 12" o:spid="_x0000_s1026" style="position:absolute;z-index:251660288;visibility:visible;mso-position-horizontal-relative:text;mso-position-vertical-relative:text" from="552.95pt,277.25pt" to="612pt,2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" o:allowincell="f">
            <v:stroke startarrowwidth="narrow" startarrowlength="short" endarrowwidth="narrow" endarrowlength="short"/>
          </v:line>
        </w:pict>
      </w:r>
    </w:p>
    <w:p w:rsidR="00434F5D" w:rsidRPr="00DE4E75" w:rsidRDefault="00434F5D">
      <w:pPr>
        <w:rPr>
          <w:rFonts w:asciiTheme="minorHAnsi" w:hAnsiTheme="minorHAnsi" w:cstheme="minorHAnsi"/>
        </w:rPr>
      </w:pPr>
    </w:p>
    <w:sectPr w:rsidR="00434F5D" w:rsidRPr="00DE4E75" w:rsidSect="00EF4E61">
      <w:headerReference w:type="default" r:id="rId5"/>
      <w:footerReference w:type="even" r:id="rId6"/>
      <w:footerReference w:type="default" r:id="rId7"/>
      <w:footerReference w:type="first" r:id="rId8"/>
      <w:pgSz w:w="12240" w:h="15840"/>
      <w:pgMar w:top="720" w:right="1620" w:bottom="720" w:left="720"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E" w:rsidRPr="00AA4B3D" w:rsidRDefault="00DE4E75" w:rsidP="005266D3">
    <w:pPr>
      <w:widowControl w:val="0"/>
      <w:autoSpaceDE w:val="0"/>
      <w:autoSpaceDN w:val="0"/>
      <w:ind w:right="360"/>
      <w:jc w:val="center"/>
      <w:rPr>
        <w:sz w:val="20"/>
      </w:rPr>
    </w:pPr>
    <w:r w:rsidRPr="00AA4B3D">
      <w:rPr>
        <w:snapToGrid w:val="0"/>
        <w:color w:val="000000"/>
        <w:sz w:val="16"/>
        <w:szCs w:val="16"/>
      </w:rPr>
      <w:t>© 2013 by McGraw-Hill Education. This is proprietary material solely for authorized instructor use. Not authorized for sale or distribution in any manner. This document may not be copied, scanned, duplicated, forwarded, distributed, or posted on a website,</w:t>
    </w:r>
    <w:r w:rsidRPr="00AA4B3D">
      <w:rPr>
        <w:snapToGrid w:val="0"/>
        <w:color w:val="000000"/>
        <w:sz w:val="16"/>
        <w:szCs w:val="16"/>
      </w:rPr>
      <w:t xml:space="preserve"> in whole or part.  </w:t>
    </w:r>
  </w:p>
  <w:p w:rsidR="00C9607E" w:rsidRDefault="00DE4E75" w:rsidP="005266D3">
    <w:pPr>
      <w:pStyle w:val="Footer"/>
      <w:tabs>
        <w:tab w:val="clear" w:pos="8640"/>
        <w:tab w:val="right" w:pos="9360"/>
      </w:tabs>
      <w:rPr>
        <w:i/>
        <w:u w:val="single"/>
      </w:rPr>
    </w:pPr>
    <w:r>
      <w:rPr>
        <w:i/>
        <w:u w:val="single"/>
      </w:rPr>
      <w:tab/>
    </w:r>
    <w:r>
      <w:rPr>
        <w:i/>
        <w:u w:val="single"/>
      </w:rPr>
      <w:tab/>
    </w:r>
  </w:p>
  <w:p w:rsidR="00C9607E" w:rsidRDefault="00DE4E75" w:rsidP="005266D3">
    <w:pPr>
      <w:pStyle w:val="Footer"/>
      <w:tabs>
        <w:tab w:val="clear" w:pos="4320"/>
        <w:tab w:val="clear" w:pos="8640"/>
        <w:tab w:val="right" w:pos="9360"/>
      </w:tabs>
      <w:spacing w:before="40"/>
      <w:rPr>
        <w:i/>
      </w:rPr>
    </w:pPr>
    <w:r>
      <w:rPr>
        <w:rStyle w:val="PageNumber"/>
        <w:i/>
      </w:rPr>
      <w:fldChar w:fldCharType="begin"/>
    </w:r>
    <w:r>
      <w:rPr>
        <w:rStyle w:val="PageNumber"/>
        <w:i/>
      </w:rPr>
      <w:instrText xml:space="preserve"> PAGE </w:instrText>
    </w:r>
    <w:r>
      <w:rPr>
        <w:rStyle w:val="PageNumber"/>
        <w:i/>
      </w:rPr>
      <w:fldChar w:fldCharType="separate"/>
    </w:r>
    <w:r>
      <w:rPr>
        <w:rStyle w:val="PageNumber"/>
        <w:i/>
        <w:noProof/>
      </w:rPr>
      <w:t>18</w:t>
    </w:r>
    <w:r>
      <w:rPr>
        <w:rStyle w:val="PageNumber"/>
        <w:i/>
      </w:rPr>
      <w:fldChar w:fldCharType="end"/>
    </w:r>
    <w:r>
      <w:rPr>
        <w:rStyle w:val="PageNumber"/>
        <w:i/>
      </w:rPr>
      <w:tab/>
      <w:t>Fundamental Accounting Principles, 21/e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E" w:rsidRPr="00E90B83" w:rsidRDefault="00DE4E75" w:rsidP="005266D3">
    <w:pPr>
      <w:widowControl w:val="0"/>
      <w:autoSpaceDE w:val="0"/>
      <w:autoSpaceDN w:val="0"/>
      <w:ind w:right="360"/>
      <w:jc w:val="center"/>
      <w:rPr>
        <w:iCs/>
        <w:sz w:val="20"/>
      </w:rPr>
    </w:pPr>
    <w:r w:rsidRPr="00E90B83">
      <w:rPr>
        <w:iCs/>
        <w:sz w:val="20"/>
      </w:rPr>
      <w:t>Copyright ©202</w:t>
    </w:r>
    <w:r>
      <w:rPr>
        <w:iCs/>
        <w:sz w:val="20"/>
      </w:rPr>
      <w:t>2</w:t>
    </w:r>
    <w:r w:rsidRPr="00E90B83">
      <w:rPr>
        <w:iCs/>
        <w:sz w:val="20"/>
      </w:rPr>
      <w:t xml:space="preserve"> McGraw-Hill Education. All rights reserved. No reproduction or distribution without the</w:t>
    </w:r>
  </w:p>
  <w:p w:rsidR="00C9607E" w:rsidRPr="00E90B83" w:rsidRDefault="00DE4E75" w:rsidP="005266D3">
    <w:pPr>
      <w:widowControl w:val="0"/>
      <w:autoSpaceDE w:val="0"/>
      <w:autoSpaceDN w:val="0"/>
      <w:ind w:right="360"/>
      <w:jc w:val="center"/>
      <w:rPr>
        <w:sz w:val="20"/>
      </w:rPr>
    </w:pPr>
    <w:r w:rsidRPr="00E90B83">
      <w:rPr>
        <w:iCs/>
        <w:sz w:val="20"/>
      </w:rPr>
      <w:t xml:space="preserve"> </w:t>
    </w:r>
    <w:proofErr w:type="gramStart"/>
    <w:r w:rsidRPr="00E90B83">
      <w:rPr>
        <w:iCs/>
        <w:sz w:val="20"/>
      </w:rPr>
      <w:t>prior</w:t>
    </w:r>
    <w:proofErr w:type="gramEnd"/>
    <w:r w:rsidRPr="00E90B83">
      <w:rPr>
        <w:iCs/>
        <w:sz w:val="20"/>
      </w:rPr>
      <w:t xml:space="preserve"> written consent of McGraw-Hill Education.</w:t>
    </w:r>
  </w:p>
  <w:p w:rsidR="00C9607E" w:rsidRPr="00E90B83" w:rsidRDefault="00DE4E75" w:rsidP="007C0982">
    <w:pPr>
      <w:pStyle w:val="Footer"/>
      <w:tabs>
        <w:tab w:val="clear" w:pos="8640"/>
        <w:tab w:val="right" w:pos="9360"/>
      </w:tabs>
    </w:pPr>
    <w:r>
      <w:t>11-</w:t>
    </w:r>
    <w:r w:rsidRPr="00E90B83">
      <w:rPr>
        <w:rStyle w:val="PageNumber"/>
      </w:rPr>
      <w:fldChar w:fldCharType="begin"/>
    </w:r>
    <w:r w:rsidRPr="00E90B83">
      <w:rPr>
        <w:rStyle w:val="PageNumber"/>
      </w:rPr>
      <w:instrText xml:space="preserve"> PAGE </w:instrText>
    </w:r>
    <w:r w:rsidRPr="00E90B83">
      <w:rPr>
        <w:rStyle w:val="PageNumber"/>
      </w:rPr>
      <w:fldChar w:fldCharType="separate"/>
    </w:r>
    <w:r>
      <w:rPr>
        <w:rStyle w:val="PageNumber"/>
        <w:noProof/>
      </w:rPr>
      <w:t>1</w:t>
    </w:r>
    <w:r w:rsidRPr="00E90B83">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E" w:rsidRDefault="00DE4E75">
    <w:pPr>
      <w:pStyle w:val="Footer"/>
    </w:pPr>
    <w:r>
      <w:t xml:space="preserve">20 / </w:t>
    </w:r>
    <w:r>
      <w:t>instructor’s resource manual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07E" w:rsidRDefault="00DE4E75" w:rsidP="003E47F7">
    <w:pPr>
      <w:pStyle w:val="Header"/>
      <w:jc w:val="center"/>
      <w:rPr>
        <w:rFonts w:ascii="Arial" w:hAnsi="Arial" w:cs="Arial"/>
        <w:b/>
      </w:rPr>
    </w:pPr>
    <w:r>
      <w:t>Financial and Managerial Accounting</w:t>
    </w:r>
    <w:r>
      <w:t xml:space="preserve">, </w:t>
    </w:r>
    <w:r>
      <w:t>9</w:t>
    </w:r>
    <w:r w:rsidRPr="00E90B83">
      <w:rPr>
        <w:vertAlign w:val="superscript"/>
      </w:rPr>
      <w:t>th</w:t>
    </w:r>
    <w:r>
      <w:t xml:space="preserve"> Edition</w:t>
    </w:r>
  </w:p>
  <w:p w:rsidR="00C9607E" w:rsidRDefault="00DE4E75" w:rsidP="000D45A0">
    <w:pPr>
      <w:pStyle w:val="Header"/>
    </w:pPr>
  </w:p>
  <w:p w:rsidR="00C9607E" w:rsidRDefault="00DE4E75" w:rsidP="005266D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6C3"/>
    <w:multiLevelType w:val="singleLevel"/>
    <w:tmpl w:val="073E27F4"/>
    <w:lvl w:ilvl="0">
      <w:start w:val="1"/>
      <w:numFmt w:val="decimal"/>
      <w:lvlText w:val="%1.    "/>
      <w:legacy w:legacy="1" w:legacySpace="0" w:legacyIndent="576"/>
      <w:lvlJc w:val="right"/>
      <w:pPr>
        <w:ind w:left="576" w:hanging="576"/>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E4E75"/>
    <w:rsid w:val="00031AE1"/>
    <w:rsid w:val="002C250D"/>
    <w:rsid w:val="002D575E"/>
    <w:rsid w:val="003107D5"/>
    <w:rsid w:val="00424682"/>
    <w:rsid w:val="00434F5D"/>
    <w:rsid w:val="008E74B6"/>
    <w:rsid w:val="00992D4F"/>
    <w:rsid w:val="00A92C0F"/>
    <w:rsid w:val="00BA2ECD"/>
    <w:rsid w:val="00DE4E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E75"/>
    <w:pPr>
      <w:spacing w:after="0" w:line="240" w:lineRule="auto"/>
    </w:pPr>
    <w:rPr>
      <w:rFonts w:eastAsia="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E4E75"/>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E4E75"/>
    <w:rPr>
      <w:rFonts w:eastAsia="Times New Roman" w:cs="Times New Roman"/>
      <w:sz w:val="22"/>
      <w:szCs w:val="20"/>
    </w:rPr>
  </w:style>
  <w:style w:type="paragraph" w:styleId="Header">
    <w:name w:val="header"/>
    <w:link w:val="HeaderChar"/>
    <w:uiPriority w:val="99"/>
    <w:rsid w:val="00DE4E75"/>
    <w:pPr>
      <w:tabs>
        <w:tab w:val="center" w:pos="4320"/>
        <w:tab w:val="right" w:pos="864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DE4E75"/>
    <w:rPr>
      <w:rFonts w:eastAsia="Times New Roman" w:cs="Times New Roman"/>
      <w:sz w:val="20"/>
      <w:szCs w:val="20"/>
    </w:rPr>
  </w:style>
  <w:style w:type="paragraph" w:styleId="ListNumber">
    <w:name w:val="List Number"/>
    <w:rsid w:val="00DE4E75"/>
    <w:pPr>
      <w:spacing w:after="120" w:line="240" w:lineRule="auto"/>
      <w:ind w:left="576" w:hanging="576"/>
      <w:outlineLvl w:val="0"/>
    </w:pPr>
    <w:rPr>
      <w:rFonts w:eastAsia="Times New Roman" w:cs="Times New Roman"/>
      <w:sz w:val="22"/>
      <w:szCs w:val="20"/>
    </w:rPr>
  </w:style>
  <w:style w:type="paragraph" w:styleId="Footer">
    <w:name w:val="footer"/>
    <w:link w:val="FooterChar"/>
    <w:rsid w:val="00DE4E75"/>
    <w:pPr>
      <w:tabs>
        <w:tab w:val="center" w:pos="4320"/>
        <w:tab w:val="right" w:pos="8640"/>
      </w:tabs>
      <w:spacing w:after="0" w:line="240" w:lineRule="auto"/>
      <w:jc w:val="center"/>
    </w:pPr>
    <w:rPr>
      <w:rFonts w:eastAsia="Times New Roman" w:cs="Times New Roman"/>
      <w:sz w:val="20"/>
      <w:szCs w:val="20"/>
    </w:rPr>
  </w:style>
  <w:style w:type="character" w:customStyle="1" w:styleId="FooterChar">
    <w:name w:val="Footer Char"/>
    <w:basedOn w:val="DefaultParagraphFont"/>
    <w:link w:val="Footer"/>
    <w:rsid w:val="00DE4E75"/>
    <w:rPr>
      <w:rFonts w:eastAsia="Times New Roman" w:cs="Times New Roman"/>
      <w:sz w:val="20"/>
      <w:szCs w:val="20"/>
    </w:rPr>
  </w:style>
  <w:style w:type="paragraph" w:customStyle="1" w:styleId="TableBody">
    <w:name w:val="Table Body"/>
    <w:rsid w:val="00DE4E75"/>
    <w:pPr>
      <w:spacing w:after="0" w:line="240" w:lineRule="auto"/>
    </w:pPr>
    <w:rPr>
      <w:rFonts w:eastAsia="Times New Roman" w:cs="Times New Roman"/>
      <w:sz w:val="22"/>
      <w:szCs w:val="20"/>
    </w:rPr>
  </w:style>
  <w:style w:type="paragraph" w:customStyle="1" w:styleId="tableheadscenter">
    <w:name w:val="table heads center"/>
    <w:basedOn w:val="Normal"/>
    <w:next w:val="Normal"/>
    <w:rsid w:val="00DE4E75"/>
    <w:pPr>
      <w:spacing w:after="60"/>
      <w:jc w:val="center"/>
    </w:pPr>
    <w:rPr>
      <w:rFonts w:ascii="Arial" w:hAnsi="Arial"/>
      <w:b/>
    </w:rPr>
  </w:style>
  <w:style w:type="character" w:styleId="PageNumber">
    <w:name w:val="page number"/>
    <w:basedOn w:val="DefaultParagraphFont"/>
    <w:rsid w:val="00DE4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878</Words>
  <Characters>5009</Characters>
  <Application>Microsoft Office Word</Application>
  <DocSecurity>0</DocSecurity>
  <Lines>41</Lines>
  <Paragraphs>11</Paragraphs>
  <ScaleCrop>false</ScaleCrop>
  <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2021-11-29T19:30:00Z</dcterms:created>
  <dcterms:modified xsi:type="dcterms:W3CDTF">2021-11-29T19:31:00Z</dcterms:modified>
</cp:coreProperties>
</file>